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62E2" w14:textId="1358FC5D" w:rsidR="00F74433" w:rsidRDefault="00A46230">
      <w:pPr>
        <w:jc w:val="center"/>
        <w:rPr>
          <w:bCs/>
          <w:szCs w:val="24"/>
        </w:rPr>
      </w:pPr>
      <w:bookmarkStart w:id="0" w:name="_Hlk77581381"/>
      <w:bookmarkEnd w:id="0"/>
      <w:r>
        <w:rPr>
          <w:bCs/>
          <w:szCs w:val="24"/>
        </w:rPr>
        <w:t xml:space="preserve">PROYECTO DE ACUERDO No. </w:t>
      </w:r>
      <w:r w:rsidR="00776F07">
        <w:rPr>
          <w:bCs/>
          <w:szCs w:val="24"/>
        </w:rPr>
        <w:t>134</w:t>
      </w:r>
      <w:r>
        <w:rPr>
          <w:bCs/>
          <w:szCs w:val="24"/>
        </w:rPr>
        <w:t xml:space="preserve"> </w:t>
      </w:r>
      <w:r w:rsidR="00206E59">
        <w:rPr>
          <w:bCs/>
          <w:szCs w:val="24"/>
        </w:rPr>
        <w:t>DE 2025</w:t>
      </w:r>
    </w:p>
    <w:p w14:paraId="07046533" w14:textId="77777777" w:rsidR="00F74433" w:rsidRDefault="00F74433">
      <w:pPr>
        <w:rPr>
          <w:bCs/>
          <w:szCs w:val="24"/>
        </w:rPr>
      </w:pPr>
    </w:p>
    <w:p w14:paraId="4EAB1AFC" w14:textId="77777777" w:rsidR="00F74433" w:rsidRDefault="00F74433">
      <w:pPr>
        <w:suppressAutoHyphens/>
        <w:rPr>
          <w:b/>
          <w:sz w:val="22"/>
          <w:szCs w:val="22"/>
        </w:rPr>
      </w:pPr>
    </w:p>
    <w:p w14:paraId="15371E00" w14:textId="77777777" w:rsidR="00F74433" w:rsidRDefault="00A46230">
      <w:pPr>
        <w:jc w:val="center"/>
        <w:rPr>
          <w:rFonts w:cs="Arial"/>
          <w:b/>
          <w:bCs/>
          <w:szCs w:val="24"/>
        </w:rPr>
      </w:pPr>
      <w:r>
        <w:rPr>
          <w:rFonts w:cs="Arial"/>
          <w:b/>
          <w:bCs/>
          <w:szCs w:val="24"/>
        </w:rPr>
        <w:t xml:space="preserve">“POR EL </w:t>
      </w:r>
      <w:r w:rsidR="005C504F">
        <w:rPr>
          <w:rFonts w:cs="Arial"/>
          <w:b/>
          <w:bCs/>
          <w:szCs w:val="24"/>
        </w:rPr>
        <w:t xml:space="preserve">CUAL SE EFECTUA UNA </w:t>
      </w:r>
      <w:r w:rsidR="00F714F4" w:rsidRPr="005C504F">
        <w:rPr>
          <w:rFonts w:cs="Arial"/>
          <w:b/>
          <w:bCs/>
          <w:szCs w:val="24"/>
        </w:rPr>
        <w:t>ADICIÓN</w:t>
      </w:r>
      <w:r w:rsidR="005C504F">
        <w:rPr>
          <w:rFonts w:cs="Arial"/>
          <w:b/>
          <w:bCs/>
          <w:szCs w:val="24"/>
        </w:rPr>
        <w:t xml:space="preserve"> PRESUPUESTAL</w:t>
      </w:r>
      <w:r>
        <w:rPr>
          <w:rFonts w:cs="Arial"/>
          <w:b/>
          <w:bCs/>
          <w:szCs w:val="24"/>
        </w:rPr>
        <w:t xml:space="preserve"> EN LA SUBCUENTA </w:t>
      </w:r>
      <w:r>
        <w:rPr>
          <w:rFonts w:cs="Arial"/>
          <w:b/>
          <w:bCs/>
        </w:rPr>
        <w:t>DE MANEJO DE EMERGENCIAS, CALAMIDADES Y/O DESASTRES DEL FONDIGER</w:t>
      </w:r>
      <w:r>
        <w:rPr>
          <w:rFonts w:cs="Arial"/>
          <w:b/>
          <w:bCs/>
          <w:szCs w:val="24"/>
        </w:rPr>
        <w:t xml:space="preserve"> PARA EL FORTALECIMIENTO DE LAS CAPACIDADES DE MANEJO EN EMERGENCIAS, CALAMIDADES Y/O DESASTRES</w:t>
      </w:r>
      <w:r>
        <w:rPr>
          <w:rFonts w:cs="Arial"/>
          <w:b/>
          <w:bCs/>
          <w:sz w:val="22"/>
          <w:szCs w:val="22"/>
        </w:rPr>
        <w:t xml:space="preserve"> </w:t>
      </w:r>
      <w:r>
        <w:rPr>
          <w:rFonts w:cs="Arial"/>
          <w:b/>
          <w:bCs/>
          <w:szCs w:val="24"/>
        </w:rPr>
        <w:t xml:space="preserve">DIRIGIDO A LOS </w:t>
      </w:r>
      <w:r>
        <w:rPr>
          <w:rFonts w:cs="Arial"/>
          <w:b/>
          <w:bCs/>
        </w:rPr>
        <w:t xml:space="preserve">GRUPOS DE LA DEFENSA CIVIL COLOMBIANA- SECCIONAL BOGOTÁ, CRUZ ROJA - SECCIONAL </w:t>
      </w:r>
      <w:r w:rsidR="00206E59">
        <w:rPr>
          <w:rFonts w:cs="Arial"/>
          <w:b/>
          <w:bCs/>
        </w:rPr>
        <w:t>CUNDINAMARCA, BOGOTÁ</w:t>
      </w:r>
      <w:r>
        <w:rPr>
          <w:rFonts w:cs="Arial"/>
          <w:b/>
          <w:bCs/>
        </w:rPr>
        <w:t xml:space="preserve"> Y CUERPO DE BOMBEROS VOLUNTARIOS DE BOGOTÁ”.</w:t>
      </w:r>
    </w:p>
    <w:p w14:paraId="7E86A16A" w14:textId="77777777" w:rsidR="00F74433" w:rsidRDefault="00F74433">
      <w:pPr>
        <w:suppressAutoHyphens/>
        <w:jc w:val="center"/>
        <w:rPr>
          <w:b/>
          <w:sz w:val="22"/>
          <w:szCs w:val="22"/>
        </w:rPr>
      </w:pPr>
    </w:p>
    <w:p w14:paraId="0DEB6149" w14:textId="77777777" w:rsidR="00F74433" w:rsidRDefault="00F74433">
      <w:pPr>
        <w:suppressAutoHyphens/>
        <w:jc w:val="center"/>
        <w:rPr>
          <w:bCs/>
          <w:sz w:val="22"/>
          <w:szCs w:val="22"/>
        </w:rPr>
      </w:pPr>
    </w:p>
    <w:p w14:paraId="19FFF813" w14:textId="77777777" w:rsidR="00F74433" w:rsidRDefault="00A46230">
      <w:pPr>
        <w:suppressAutoHyphens/>
        <w:jc w:val="center"/>
        <w:rPr>
          <w:b/>
          <w:sz w:val="22"/>
          <w:szCs w:val="22"/>
        </w:rPr>
      </w:pPr>
      <w:r>
        <w:rPr>
          <w:b/>
          <w:sz w:val="22"/>
          <w:szCs w:val="22"/>
        </w:rPr>
        <w:t>EXPOSICIÓN DE MOTIVOS</w:t>
      </w:r>
    </w:p>
    <w:p w14:paraId="0BDCC07B" w14:textId="77777777" w:rsidR="00F74433" w:rsidRDefault="00F74433">
      <w:pPr>
        <w:suppressAutoHyphens/>
        <w:jc w:val="both"/>
        <w:rPr>
          <w:bCs/>
          <w:sz w:val="22"/>
          <w:szCs w:val="22"/>
        </w:rPr>
      </w:pPr>
    </w:p>
    <w:p w14:paraId="2ED0DE6A" w14:textId="77777777" w:rsidR="00F74433" w:rsidRDefault="00F74433">
      <w:pPr>
        <w:suppressAutoHyphens/>
        <w:jc w:val="both"/>
        <w:rPr>
          <w:b/>
          <w:sz w:val="22"/>
          <w:szCs w:val="22"/>
        </w:rPr>
      </w:pPr>
    </w:p>
    <w:p w14:paraId="1DF15709" w14:textId="77777777" w:rsidR="00F74433" w:rsidRDefault="00A46230">
      <w:pPr>
        <w:pStyle w:val="Prrafodelista"/>
        <w:numPr>
          <w:ilvl w:val="0"/>
          <w:numId w:val="1"/>
        </w:numPr>
        <w:suppressAutoHyphens/>
        <w:jc w:val="both"/>
        <w:rPr>
          <w:b/>
          <w:szCs w:val="24"/>
        </w:rPr>
      </w:pPr>
      <w:r>
        <w:rPr>
          <w:b/>
          <w:szCs w:val="24"/>
        </w:rPr>
        <w:t>OBJETO DEL PROYECTO DE ACUERDO</w:t>
      </w:r>
    </w:p>
    <w:p w14:paraId="4EA4B588" w14:textId="77777777" w:rsidR="00F74433" w:rsidRDefault="00F74433">
      <w:pPr>
        <w:suppressAutoHyphens/>
        <w:jc w:val="both"/>
        <w:rPr>
          <w:b/>
          <w:szCs w:val="24"/>
        </w:rPr>
      </w:pPr>
    </w:p>
    <w:p w14:paraId="1FD50444" w14:textId="77777777" w:rsidR="00F74433" w:rsidRDefault="00A46230">
      <w:pPr>
        <w:spacing w:line="276" w:lineRule="auto"/>
        <w:jc w:val="both"/>
        <w:rPr>
          <w:rFonts w:cs="Arial"/>
          <w:szCs w:val="24"/>
        </w:rPr>
      </w:pPr>
      <w:r>
        <w:rPr>
          <w:rFonts w:cs="Arial"/>
          <w:szCs w:val="24"/>
        </w:rPr>
        <w:t>El objeto del presente proyecto de acuerdo es adicionar recursos a la Subcuenta de Manejo de emergencias, Calamidades y/o Desastres para el fortalecimiento de las capacidades de manejo en emergencias y desastres de las entidades operativas del Sistema Distrital de Gestión del Riesgo de Desastres, es decir, Cruz Roja Colombiana Seccional Cundinamarca y Bogotá, Defensa Civil Colombiana Seccional Bogotá y Bomberos Voluntarios de Bogotá, con el fin de cumplir con las metas establecidas en el Plan Distrital de Gestión del Riesgo de Desastres 2018 – 2030 y las funciones de respuesta establecidas en la Estrategia Distrital de Respuesta a Emergencias – Marco de Actuación, aprobados en el Consejo Distrital de Gestión del Riesgo y Cambio Climático mediante el Acuerdo 001 de 9 de noviembre de 2018 y adoptados en el Decreto Distrital 837 de 28 de diciembre de 2018. En concordancia, mejorando la respuesta en emergencias, calamidades y desastres en el Distrito Capital.</w:t>
      </w:r>
    </w:p>
    <w:p w14:paraId="4A1160B8" w14:textId="77777777" w:rsidR="00F74433" w:rsidRDefault="00F74433">
      <w:pPr>
        <w:tabs>
          <w:tab w:val="left" w:pos="3645"/>
        </w:tabs>
        <w:suppressAutoHyphens/>
        <w:spacing w:line="276" w:lineRule="auto"/>
        <w:jc w:val="both"/>
        <w:rPr>
          <w:bCs/>
          <w:sz w:val="22"/>
          <w:szCs w:val="22"/>
        </w:rPr>
      </w:pPr>
    </w:p>
    <w:p w14:paraId="17B85FA4" w14:textId="77777777" w:rsidR="00F74433" w:rsidRDefault="00A46230">
      <w:pPr>
        <w:pStyle w:val="Prrafodelista"/>
        <w:numPr>
          <w:ilvl w:val="0"/>
          <w:numId w:val="1"/>
        </w:numPr>
        <w:suppressAutoHyphens/>
        <w:jc w:val="both"/>
        <w:rPr>
          <w:b/>
          <w:szCs w:val="24"/>
        </w:rPr>
      </w:pPr>
      <w:r>
        <w:rPr>
          <w:b/>
          <w:szCs w:val="24"/>
        </w:rPr>
        <w:t xml:space="preserve">MARCO JURÍDICO DE LA INICIATIVA </w:t>
      </w:r>
    </w:p>
    <w:p w14:paraId="1739E688" w14:textId="77777777" w:rsidR="00F74433" w:rsidRDefault="00F74433">
      <w:pPr>
        <w:suppressAutoHyphens/>
        <w:jc w:val="both"/>
        <w:rPr>
          <w:b/>
          <w:szCs w:val="24"/>
        </w:rPr>
      </w:pPr>
    </w:p>
    <w:p w14:paraId="234D9B9E" w14:textId="77777777" w:rsidR="00F74433" w:rsidRDefault="00A46230">
      <w:pPr>
        <w:suppressAutoHyphens/>
        <w:spacing w:line="276" w:lineRule="auto"/>
        <w:jc w:val="both"/>
        <w:rPr>
          <w:bCs/>
          <w:szCs w:val="24"/>
        </w:rPr>
      </w:pPr>
      <w:r>
        <w:rPr>
          <w:bCs/>
          <w:szCs w:val="24"/>
        </w:rPr>
        <w:t xml:space="preserve">Normatividad relacionada con la responsabilidad de los Bomberos Voluntarios de Bogotá, la Defensa Civil Seccional Bogotá y la Cruz Roja Colombiana Seccional Cundinamarca y Bogotá como grupos de apoyo para la atención a emergencias en </w:t>
      </w:r>
      <w:r w:rsidR="00932936">
        <w:rPr>
          <w:bCs/>
          <w:szCs w:val="24"/>
        </w:rPr>
        <w:t>Bogotá</w:t>
      </w:r>
      <w:r>
        <w:rPr>
          <w:bCs/>
          <w:szCs w:val="24"/>
        </w:rPr>
        <w:t>:</w:t>
      </w:r>
    </w:p>
    <w:p w14:paraId="7357B651" w14:textId="77777777" w:rsidR="00F74433" w:rsidRDefault="00F74433">
      <w:pPr>
        <w:suppressAutoHyphens/>
        <w:jc w:val="both"/>
        <w:rPr>
          <w:b/>
          <w:sz w:val="22"/>
          <w:szCs w:val="22"/>
        </w:rPr>
      </w:pPr>
    </w:p>
    <w:tbl>
      <w:tblPr>
        <w:tblStyle w:val="Tablaconcuadrcula1clara1"/>
        <w:tblW w:w="9924" w:type="dxa"/>
        <w:tblInd w:w="-431" w:type="dxa"/>
        <w:tblCellMar>
          <w:top w:w="85" w:type="dxa"/>
          <w:bottom w:w="85" w:type="dxa"/>
        </w:tblCellMar>
        <w:tblLook w:val="04A0" w:firstRow="1" w:lastRow="0" w:firstColumn="1" w:lastColumn="0" w:noHBand="0" w:noVBand="1"/>
      </w:tblPr>
      <w:tblGrid>
        <w:gridCol w:w="2978"/>
        <w:gridCol w:w="6946"/>
      </w:tblGrid>
      <w:tr w:rsidR="00F74433" w14:paraId="298D9C6A" w14:textId="77777777" w:rsidTr="00F74433">
        <w:trPr>
          <w:cnfStyle w:val="100000000000" w:firstRow="1" w:lastRow="0" w:firstColumn="0" w:lastColumn="0" w:oddVBand="0" w:evenVBand="0" w:oddHBand="0" w:evenHBand="0" w:firstRowFirstColumn="0" w:firstRowLastColumn="0" w:lastRowFirstColumn="0" w:lastRowLastColumn="0"/>
          <w:trHeight w:val="437"/>
          <w:tblHeader/>
        </w:trPr>
        <w:tc>
          <w:tcPr>
            <w:cnfStyle w:val="001000000000" w:firstRow="0" w:lastRow="0" w:firstColumn="1" w:lastColumn="0" w:oddVBand="0" w:evenVBand="0" w:oddHBand="0" w:evenHBand="0" w:firstRowFirstColumn="0" w:firstRowLastColumn="0" w:lastRowFirstColumn="0" w:lastRowLastColumn="0"/>
            <w:tcW w:w="2978" w:type="dxa"/>
            <w:vAlign w:val="center"/>
          </w:tcPr>
          <w:p w14:paraId="06FA2AEE" w14:textId="77777777" w:rsidR="00F74433" w:rsidRDefault="00A46230">
            <w:pPr>
              <w:pStyle w:val="Default"/>
              <w:jc w:val="center"/>
              <w:rPr>
                <w:rFonts w:ascii="Arial" w:hAnsi="Arial" w:cs="Arial"/>
                <w:b w:val="0"/>
                <w:bCs w:val="0"/>
                <w:color w:val="auto"/>
                <w:sz w:val="22"/>
                <w:szCs w:val="22"/>
              </w:rPr>
            </w:pPr>
            <w:r>
              <w:rPr>
                <w:rFonts w:ascii="Arial" w:hAnsi="Arial" w:cs="Arial"/>
                <w:color w:val="auto"/>
                <w:sz w:val="22"/>
                <w:szCs w:val="22"/>
              </w:rPr>
              <w:lastRenderedPageBreak/>
              <w:t>Normativa Relacionada</w:t>
            </w:r>
          </w:p>
        </w:tc>
        <w:tc>
          <w:tcPr>
            <w:tcW w:w="6946" w:type="dxa"/>
            <w:vAlign w:val="center"/>
          </w:tcPr>
          <w:p w14:paraId="464D9659" w14:textId="77777777" w:rsidR="00F74433" w:rsidRDefault="00A46230">
            <w:pPr>
              <w:pStyle w:val="Default"/>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2"/>
                <w:szCs w:val="22"/>
              </w:rPr>
            </w:pPr>
            <w:r>
              <w:rPr>
                <w:rFonts w:ascii="Arial" w:hAnsi="Arial" w:cs="Arial"/>
                <w:color w:val="auto"/>
                <w:sz w:val="22"/>
                <w:szCs w:val="22"/>
              </w:rPr>
              <w:t>Descripción</w:t>
            </w:r>
          </w:p>
        </w:tc>
      </w:tr>
      <w:tr w:rsidR="00F74433" w14:paraId="72D2E5EF" w14:textId="77777777" w:rsidTr="00F74433">
        <w:trPr>
          <w:trHeight w:val="1572"/>
        </w:trPr>
        <w:tc>
          <w:tcPr>
            <w:cnfStyle w:val="001000000000" w:firstRow="0" w:lastRow="0" w:firstColumn="1" w:lastColumn="0" w:oddVBand="0" w:evenVBand="0" w:oddHBand="0" w:evenHBand="0" w:firstRowFirstColumn="0" w:firstRowLastColumn="0" w:lastRowFirstColumn="0" w:lastRowLastColumn="0"/>
            <w:tcW w:w="2978" w:type="dxa"/>
            <w:vAlign w:val="center"/>
          </w:tcPr>
          <w:p w14:paraId="38B65E4F"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Constitución Política de Colombia de 1991</w:t>
            </w:r>
          </w:p>
        </w:tc>
        <w:tc>
          <w:tcPr>
            <w:tcW w:w="6946" w:type="dxa"/>
            <w:vAlign w:val="center"/>
          </w:tcPr>
          <w:p w14:paraId="474CC155" w14:textId="77777777" w:rsidR="00F74433" w:rsidRDefault="00A46230">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r>
              <w:rPr>
                <w:rFonts w:ascii="Arial" w:hAnsi="Arial" w:cs="Arial"/>
                <w:color w:val="auto"/>
                <w:sz w:val="22"/>
                <w:szCs w:val="22"/>
              </w:rPr>
              <w:t>Colombia es un Estado Social de Derecho, democrático, participativo fundada en el respeto a la dignidad humana, y la Solidaridad entre todas y todos, y la prevalencia del interés general.</w:t>
            </w:r>
          </w:p>
          <w:p w14:paraId="66A1C267" w14:textId="77777777" w:rsidR="00F74433" w:rsidRDefault="00F74433">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p>
          <w:p w14:paraId="66ABD22A" w14:textId="77777777" w:rsidR="00F74433" w:rsidRDefault="00A46230">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r>
              <w:rPr>
                <w:rFonts w:ascii="Arial" w:hAnsi="Arial" w:cs="Arial"/>
                <w:color w:val="auto"/>
                <w:sz w:val="22"/>
                <w:szCs w:val="22"/>
              </w:rPr>
              <w:t>Articulo. 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68AA92E9" w14:textId="77777777" w:rsidR="00F74433" w:rsidRDefault="00F74433">
            <w:pPr>
              <w:cnfStyle w:val="000000000000" w:firstRow="0" w:lastRow="0" w:firstColumn="0" w:lastColumn="0" w:oddVBand="0" w:evenVBand="0" w:oddHBand="0" w:evenHBand="0" w:firstRowFirstColumn="0" w:firstRowLastColumn="0" w:lastRowFirstColumn="0" w:lastRowLastColumn="0"/>
            </w:pPr>
          </w:p>
        </w:tc>
      </w:tr>
      <w:tr w:rsidR="00F74433" w14:paraId="4907FFBA" w14:textId="77777777" w:rsidTr="00F74433">
        <w:trPr>
          <w:trHeight w:val="1572"/>
        </w:trPr>
        <w:tc>
          <w:tcPr>
            <w:cnfStyle w:val="001000000000" w:firstRow="0" w:lastRow="0" w:firstColumn="1" w:lastColumn="0" w:oddVBand="0" w:evenVBand="0" w:oddHBand="0" w:evenHBand="0" w:firstRowFirstColumn="0" w:firstRowLastColumn="0" w:lastRowFirstColumn="0" w:lastRowLastColumn="0"/>
            <w:tcW w:w="2978" w:type="dxa"/>
            <w:vAlign w:val="center"/>
          </w:tcPr>
          <w:p w14:paraId="1FCBF43E"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Ley 1523 de 2012</w:t>
            </w:r>
          </w:p>
          <w:p w14:paraId="6E65B015" w14:textId="77777777" w:rsidR="00F74433" w:rsidRDefault="00F74433">
            <w:pPr>
              <w:pStyle w:val="Default"/>
              <w:rPr>
                <w:rFonts w:ascii="Arial" w:hAnsi="Arial" w:cs="Arial"/>
                <w:b w:val="0"/>
                <w:bCs w:val="0"/>
                <w:color w:val="auto"/>
                <w:sz w:val="22"/>
                <w:szCs w:val="22"/>
              </w:rPr>
            </w:pPr>
          </w:p>
        </w:tc>
        <w:tc>
          <w:tcPr>
            <w:tcW w:w="6946" w:type="dxa"/>
            <w:vAlign w:val="center"/>
          </w:tcPr>
          <w:p w14:paraId="4E21135C" w14:textId="77777777" w:rsidR="00F74433" w:rsidRDefault="00A46230">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r>
              <w:rPr>
                <w:rFonts w:ascii="Arial" w:hAnsi="Arial" w:cs="Arial"/>
                <w:color w:val="auto"/>
                <w:sz w:val="22"/>
                <w:szCs w:val="22"/>
              </w:rPr>
              <w:t>Por la cual se adopta la política nacional de gestión del riesgo de desastres y se establece el Sistema Nacional de Gestión del Riesgo de Desastres.</w:t>
            </w:r>
          </w:p>
          <w:p w14:paraId="65F08277" w14:textId="77777777" w:rsidR="00F74433" w:rsidRDefault="00F74433">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p>
          <w:p w14:paraId="56CA0B76" w14:textId="77777777" w:rsidR="00F74433" w:rsidRDefault="00A46230">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r>
              <w:rPr>
                <w:rFonts w:ascii="Arial" w:hAnsi="Arial" w:cs="Arial"/>
                <w:color w:val="auto"/>
                <w:sz w:val="22"/>
                <w:szCs w:val="22"/>
              </w:rPr>
              <w:t xml:space="preserve">Artículo 1º. Define la Gestión Integral del Riesgo, como “es un proceso social orientado a la formulación, ejecución, seguimiento y evaluación de políticas, estrategias, planes, programas, regulaciones, instrumentos, medidas y acciones permanentes para el conocimiento y la reducción del riesgo y para el manejo de desastres, con el propósito explícito de contribuir a la seguridad, el bienestar, la calidad de vida de las personas y al desarrollo sostenible “. </w:t>
            </w:r>
          </w:p>
          <w:p w14:paraId="20268DDA" w14:textId="77777777" w:rsidR="00F74433" w:rsidRDefault="00F74433">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p>
          <w:p w14:paraId="021CB1D3" w14:textId="77777777" w:rsidR="00F74433" w:rsidRDefault="00A46230">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r>
              <w:rPr>
                <w:rFonts w:ascii="Arial" w:hAnsi="Arial" w:cs="Arial"/>
                <w:color w:val="auto"/>
                <w:sz w:val="22"/>
                <w:szCs w:val="22"/>
              </w:rPr>
              <w:t>Artículo 2. De la Responsabilidad. La gestión del riesgo es responsabilidad de todas las autoridades y de los habitantes del territorio colombiano. En cumplimiento de esta responsabilidad, las entidades públicas, privadas y comunitarias desarrollarán y ejecutarán los procesos de gestión del riesgo, entiéndase: conocimiento del riesgo, reducción del riesgo y manejo de desastres, en el marco de sus competencias, su ámbito de actuación y su jurisdicción, como componentes del Sistema Nacional de Gestión del Riesgo de Desastres. Por su parte, los habitantes del territorio nacional, corresponsables de la gestión del riesgo, actuarán con precaución, solidaridad, autoprotección, tanto en lo personal como en lo de sus bienes, y acatarán lo dispuesto por las autoridades.</w:t>
            </w:r>
          </w:p>
          <w:p w14:paraId="21DEA606" w14:textId="77777777" w:rsidR="00F74433" w:rsidRDefault="00F74433">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p>
          <w:p w14:paraId="7593FAC3" w14:textId="77777777" w:rsidR="00F74433" w:rsidRDefault="00A46230">
            <w:pPr>
              <w:pStyle w:val="Default"/>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rPr>
            </w:pPr>
            <w:r>
              <w:rPr>
                <w:rFonts w:ascii="Arial" w:hAnsi="Arial" w:cs="Arial"/>
                <w:color w:val="auto"/>
                <w:sz w:val="22"/>
                <w:szCs w:val="22"/>
              </w:rPr>
              <w:lastRenderedPageBreak/>
              <w:t>Artículo 4º que la Respuesta es: “Ejecución de las actividades necesarias para la atención de la emergencia como accesibilidad y transporte, telecomunicaciones, evaluación de daños y análisis de necesidades,  salud  y  saneamiento  básico,  búsqueda  y  rescate,  extinción  de incendios y manejo de materiales peligrosos, albergues y alimentación, servicios públicos,  seguridad  y  convivencia,  aspectos  financieros  y  legales,  información pública y el manejo general de la respuesta,  entre otros. La efectividad de la respuesta depende de la calidad de preparación.”.</w:t>
            </w:r>
          </w:p>
        </w:tc>
      </w:tr>
      <w:tr w:rsidR="00F74433" w14:paraId="6840D38D"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52EA6A32"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lastRenderedPageBreak/>
              <w:t>Ley 1575 de 2012</w:t>
            </w:r>
          </w:p>
          <w:p w14:paraId="05F8E206" w14:textId="77777777" w:rsidR="00F74433" w:rsidRDefault="00F74433">
            <w:pPr>
              <w:pStyle w:val="Default"/>
              <w:rPr>
                <w:rFonts w:ascii="Arial" w:hAnsi="Arial" w:cs="Arial"/>
                <w:b w:val="0"/>
                <w:bCs w:val="0"/>
                <w:color w:val="auto"/>
                <w:sz w:val="22"/>
                <w:szCs w:val="22"/>
              </w:rPr>
            </w:pPr>
          </w:p>
        </w:tc>
        <w:tc>
          <w:tcPr>
            <w:tcW w:w="6946" w:type="dxa"/>
            <w:vAlign w:val="center"/>
          </w:tcPr>
          <w:p w14:paraId="3803BC33"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Por medio de la cual se establece la Ley General de Bomberos de Colombia.</w:t>
            </w:r>
          </w:p>
          <w:p w14:paraId="0257B6F7"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p w14:paraId="7A12CB50"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Artículo 1º. Responsabilidad Compartida. La gestión integral del riesgo contra incendio, los preparativos y atención de rescates en todas sus modalidades y la atención de incidentes con materiales peligrosos es responsabilidad de todas las autoridades y de los habitantes del territorio colombiano, en especial, los municipios, o quien haga sus veces, los departamentos y la Nación. Esto sin perjuicio de las atribuciones de las demás entidades que conforman el Sistema Nacional para la Prevención y Atención de Desastres. En cumplimiento de esta responsabilidad los organismos públicos y privados deberán contemplar la contingencia de este riesgo en los bienes muebles e inmuebles tales como parques naturales, construcciones, programas de desarrollo urbanístico e instalaciones y adelantar planes, programas y proyectos tendientes a disminuir su vulnerabilidad.</w:t>
            </w:r>
          </w:p>
          <w:p w14:paraId="3E0EB500"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p w14:paraId="554291FF" w14:textId="77777777" w:rsidR="00F74433" w:rsidRDefault="00A46230">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ja-JP"/>
              </w:rPr>
            </w:pPr>
            <w:r>
              <w:rPr>
                <w:rFonts w:ascii="Arial" w:hAnsi="Arial" w:cs="Arial"/>
                <w:sz w:val="22"/>
                <w:szCs w:val="22"/>
                <w:lang w:eastAsia="ja-JP"/>
              </w:rPr>
              <w:t>Artículo 2º. Gestión integral del riesgo contra incendio. La gestión integral del riesgo contra incendio, los preparativos y atención de rescates en todas sus modalidades y la atención de incidentes con materiales peligrosos, estarán a cargo de las instituciones Bomberiles y para todos sus efectos, constituyen un servicio público esencial a cargo del Estado. Es deber del Estado asegurar su prestación eficiente a todos los habitantes del territorio nacional, en forma directa a través de Cuerpos de Bomberos Oficiales, Voluntarios y aeronáuticos.</w:t>
            </w:r>
          </w:p>
          <w:p w14:paraId="75E7CB09" w14:textId="77777777" w:rsidR="00F74433" w:rsidRDefault="00F74433">
            <w:pPr>
              <w:pStyle w:val="NormalWeb"/>
              <w:shd w:val="clear" w:color="auto" w:fill="FFFFFF"/>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eastAsia="ja-JP"/>
              </w:rPr>
            </w:pPr>
          </w:p>
          <w:p w14:paraId="58650B95"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 xml:space="preserve">Artículo 18. Los Cuerpos de Bomberos Voluntarios: Son aquellos organizados como asociaciones sin ánimo de lucro, de utilidad común y con personería jurídica expedida por las secretarías de gobierno departamentales, organizadas para la prestación del servicio público para la gestión integral del riesgo contra incendio, los preparativos y </w:t>
            </w:r>
            <w:r>
              <w:rPr>
                <w:rFonts w:cs="Arial"/>
                <w:sz w:val="22"/>
                <w:szCs w:val="22"/>
              </w:rPr>
              <w:lastRenderedPageBreak/>
              <w:t>atención de rescates en todas sus modalidades y la atención de incidentes con materiales peligrosos, en los términos del artículo segundo de la presente ley y con certificado de cumplimiento expedido por la dirección Nacional de Bomberos.</w:t>
            </w:r>
          </w:p>
          <w:p w14:paraId="377A41F3"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F74433" w14:paraId="67FB8837"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1A00C4FB"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lastRenderedPageBreak/>
              <w:t>Ley 1505 de 2012</w:t>
            </w:r>
          </w:p>
        </w:tc>
        <w:tc>
          <w:tcPr>
            <w:tcW w:w="6946" w:type="dxa"/>
            <w:vAlign w:val="center"/>
          </w:tcPr>
          <w:p w14:paraId="2A919538"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Por medio de la cual se crea el Subsistema Nacional de Voluntarios de Primera Respuesta y se otorgan estímulos a los voluntarios de la Defensa Civil, de los Cuerpos de Bomberos de Colombia y de la Cruz Roja Colombiana y se dictan otras disposiciones en materia de voluntariado en primera respuesta.</w:t>
            </w:r>
          </w:p>
          <w:p w14:paraId="2E165C7D"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Artículo 1°. Objeto. La presente ley tiene por objeto crear el Subsistema Nacional de Voluntarios en Primera Respuesta como parte del Sistema Nacional de Prevención y Atención de Desastres, así como reconocer y estimular la labor de los voluntarios que hacen parte del mismo y potenciar su formación y competencias ciudadanas.</w:t>
            </w:r>
          </w:p>
          <w:p w14:paraId="2AE6E467"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p w14:paraId="76D517B6"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Artículo 3°. Integrantes. El Subsistema Nacional de Voluntarios en Primera Respuesta estará integrado por: a) Los voluntarios acreditados y activos de la Defensa Civil Colombiana. b) Los voluntarios acreditados y activos de la Cruz Roja Colombiana. c) Los voluntarios acreditados y activos de los Cuerpos de Bomberos.</w:t>
            </w:r>
          </w:p>
        </w:tc>
      </w:tr>
      <w:tr w:rsidR="00F74433" w14:paraId="71D87E46"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37A5A3C9"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Decreto 541 de 2006</w:t>
            </w:r>
          </w:p>
        </w:tc>
        <w:tc>
          <w:tcPr>
            <w:tcW w:w="6946" w:type="dxa"/>
            <w:vAlign w:val="center"/>
          </w:tcPr>
          <w:p w14:paraId="68892EE2"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"Por el cual se determina el objeto, la estructura organizacional y las funciones de la Unidad administrativa Especial Cuerpo Oficial de Bomberos"</w:t>
            </w:r>
          </w:p>
        </w:tc>
      </w:tr>
      <w:tr w:rsidR="00F74433" w14:paraId="7777D269"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19712C08"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Marco de Actuación Estrategia Distrital para la Respuesta a Emergencias, 2017</w:t>
            </w:r>
          </w:p>
        </w:tc>
        <w:tc>
          <w:tcPr>
            <w:tcW w:w="6946" w:type="dxa"/>
            <w:vAlign w:val="center"/>
          </w:tcPr>
          <w:p w14:paraId="25B2F843"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De conformidad con la Ley 1523 de 2012, la respuesta a las emergencias en Bogotá D.C. consiste en la prestación de 16 servicios básicos tales como: accesibilidad y transporte, salud, búsqueda y rescate, extinción de incendios, manejo de materiales y/o residuos peligrosos, evacuación asistida, ayuda humanitaria, alojamientos temporales, agua potable, energía y gas, telecomunicaciones para la comunidad, restablecimiento de contactos familiares, saneamiento básico, manejo de escombros y obras de emergencia, manejo de cadáveres y seguridad y convivencia.</w:t>
            </w:r>
          </w:p>
          <w:p w14:paraId="5DEAF582"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p w14:paraId="19D96DE5"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El marco de actuación define las entidades ejecutoras para cada uno de los servicios. Adicionalmente, establece el procedimiento general para la respuesta y la estructura de coordinación en cuatro niveles: la red de telecomunicaciones para emergencias, el Puesto de Mando Unificado – PMU en terreno, el Centro de Operaciones de Emergencia – COE y el Consejo Distrital de Gestión de Riesgos.</w:t>
            </w:r>
          </w:p>
          <w:p w14:paraId="4559B2B9"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p w14:paraId="1D2A3674"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Este Marco de Actuación es aplicable en emergencias o desastres generados por cualquier evento de origen natural, socionatural o antrópico.</w:t>
            </w:r>
          </w:p>
        </w:tc>
      </w:tr>
      <w:tr w:rsidR="00F74433" w14:paraId="51F3011A"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4ACFF0EB" w14:textId="77777777" w:rsidR="00F74433" w:rsidRDefault="00A46230">
            <w:pPr>
              <w:pStyle w:val="Default"/>
              <w:jc w:val="both"/>
              <w:rPr>
                <w:rFonts w:ascii="Arial" w:hAnsi="Arial" w:cs="Arial"/>
                <w:b w:val="0"/>
                <w:bCs w:val="0"/>
                <w:color w:val="auto"/>
                <w:sz w:val="22"/>
                <w:szCs w:val="22"/>
                <w:u w:val="single"/>
              </w:rPr>
            </w:pPr>
            <w:r>
              <w:rPr>
                <w:rFonts w:ascii="Arial" w:hAnsi="Arial" w:cs="Arial"/>
                <w:color w:val="auto"/>
                <w:sz w:val="22"/>
                <w:szCs w:val="22"/>
                <w:u w:val="single"/>
              </w:rPr>
              <w:t xml:space="preserve">Decreto 837 de 2018 </w:t>
            </w:r>
          </w:p>
        </w:tc>
        <w:tc>
          <w:tcPr>
            <w:tcW w:w="6946" w:type="dxa"/>
            <w:vAlign w:val="center"/>
          </w:tcPr>
          <w:p w14:paraId="265A3B11"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color w:val="auto"/>
                <w:sz w:val="22"/>
                <w:szCs w:val="22"/>
                <w:u w:val="single"/>
              </w:rPr>
            </w:pPr>
            <w:r>
              <w:rPr>
                <w:rFonts w:cs="Arial"/>
                <w:color w:val="auto"/>
                <w:sz w:val="22"/>
                <w:szCs w:val="22"/>
                <w:u w:val="single"/>
              </w:rPr>
              <w:t xml:space="preserve">“Por medio del cual se adopta el Plan Distrital de Gestión del Riesgo de Desastres y del Cambio Climático para Bogotá D.C., 2018-2030 y se dictan otras disposiciones”. </w:t>
            </w:r>
          </w:p>
          <w:p w14:paraId="6E98D0E4"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u w:val="single"/>
              </w:rPr>
            </w:pPr>
          </w:p>
          <w:p w14:paraId="7792B33C"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u w:val="single"/>
              </w:rPr>
            </w:pPr>
            <w:r>
              <w:rPr>
                <w:rFonts w:cs="Arial"/>
                <w:sz w:val="22"/>
                <w:szCs w:val="22"/>
                <w:u w:val="single"/>
              </w:rPr>
              <w:t>Artículo 1°. Adopción. Adóptense el “Plan Distrital de Gestión del Riesgo de Desastres y del Cambio Climático para Bogotá D.C., 2018-2030”, y la “Estrategia Distrital para la Respuesta a Emergencias -Marco de Actuación”, aprobados por el Consejo Distrital de Gestión de Riesgos y Cambio Climático mediante Acuerdo 001 de 9 de noviembre de 2018, los cuales hacen parte integral del presente decreto.</w:t>
            </w:r>
          </w:p>
        </w:tc>
      </w:tr>
      <w:tr w:rsidR="00F74433" w14:paraId="2D9A7419"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727E2978" w14:textId="77777777" w:rsidR="00F74433" w:rsidRDefault="00A46230">
            <w:pPr>
              <w:pStyle w:val="Default"/>
              <w:rPr>
                <w:rFonts w:ascii="Arial" w:hAnsi="Arial" w:cs="Arial"/>
                <w:color w:val="auto"/>
                <w:sz w:val="22"/>
                <w:szCs w:val="22"/>
              </w:rPr>
            </w:pPr>
            <w:r>
              <w:rPr>
                <w:rFonts w:ascii="Arial" w:hAnsi="Arial" w:cs="Arial"/>
                <w:color w:val="auto"/>
                <w:sz w:val="22"/>
                <w:szCs w:val="22"/>
              </w:rPr>
              <w:t>Acuerdo Distrital 546 de 2013</w:t>
            </w:r>
          </w:p>
        </w:tc>
        <w:tc>
          <w:tcPr>
            <w:tcW w:w="6946" w:type="dxa"/>
            <w:vAlign w:val="center"/>
          </w:tcPr>
          <w:p w14:paraId="6D09D76D"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Transforma el Sistema Distrital de Prevención y Atención de Emergencias -SDPAE-, en el Sistema Distrital de Gestión de Riesgo y Cambio Climático-SDGR-CC, cuyo objeto es articular las políticas, estructuras, relaciones funcionales, métodos, recursos, procesos y procedimientos de las entidades públicas y privadas, las comunidades y la ciudadanía en el ámbito de sus competencias, con el propósito común de generar sinergia en los procesos que integran la gestión de riesgos y cambio climático de Bogotá, D.C. y crea el Fondo Distrital para la Gestión de Riesgo y Cambio Climático: FONDIGER, como una cuenta especial del Distrito Capital, con independencia patrimonial, administrativa, financiera, contable y estadística, como lo establece el Decreto Ley 1421 de 1993 y la Ley, administrado por el IDIGER, sin personería jurídica para el cumplimiento del objeto y alcance del SDGR-CC.</w:t>
            </w:r>
          </w:p>
        </w:tc>
      </w:tr>
      <w:tr w:rsidR="00F74433" w14:paraId="76ACCA6A"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1964B488"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 xml:space="preserve">Decreto 172 de 2014 </w:t>
            </w:r>
          </w:p>
        </w:tc>
        <w:tc>
          <w:tcPr>
            <w:tcW w:w="6946" w:type="dxa"/>
            <w:vAlign w:val="center"/>
          </w:tcPr>
          <w:p w14:paraId="476E89E4"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Por el cual se reglamenta el Acuerdo 546 de 2013, se organizan las instancias de coordinación y orientación del Sistema Distrital de Gestión de Riesgos y Cambio Climático SDGR-CC y se definen lineamientos para su funcionamiento.</w:t>
            </w:r>
          </w:p>
        </w:tc>
      </w:tr>
      <w:tr w:rsidR="00F74433" w14:paraId="0206E5F9"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5DDE3580"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 xml:space="preserve">Acuerdo 548 de 2014 </w:t>
            </w:r>
          </w:p>
        </w:tc>
        <w:tc>
          <w:tcPr>
            <w:tcW w:w="6946" w:type="dxa"/>
            <w:vAlign w:val="center"/>
          </w:tcPr>
          <w:p w14:paraId="30B7460B"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“Por medio del cual se otorgan estímulos, en el marco de la Ley 1505 de 2012, a los Voluntarios de la Defensa Civil, de los Cuerpos de Bomberos y de la Cruz Roja que operan en el Distrito Capital” EL CONCEJO DE BOGOTÁ D.C., En uso de sus atribuciones Constitucionales y Legales, especialmente las contenidas en el artículo 12 Numerales 1, 2 y 7 del Decreto Ley 1421 de 1993.</w:t>
            </w:r>
          </w:p>
        </w:tc>
      </w:tr>
      <w:tr w:rsidR="00F74433" w14:paraId="7F34427D"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5DB129FE" w14:textId="77777777" w:rsidR="00F74433" w:rsidRDefault="00A46230">
            <w:pPr>
              <w:pStyle w:val="Default"/>
              <w:rPr>
                <w:rFonts w:ascii="Arial" w:hAnsi="Arial" w:cs="Arial"/>
                <w:color w:val="auto"/>
                <w:sz w:val="22"/>
                <w:szCs w:val="22"/>
              </w:rPr>
            </w:pPr>
            <w:r>
              <w:rPr>
                <w:rFonts w:ascii="Arial" w:hAnsi="Arial" w:cs="Arial"/>
                <w:color w:val="auto"/>
                <w:sz w:val="22"/>
                <w:szCs w:val="22"/>
              </w:rPr>
              <w:t>Resolución 0661 de 2014</w:t>
            </w:r>
          </w:p>
        </w:tc>
        <w:tc>
          <w:tcPr>
            <w:tcW w:w="6946" w:type="dxa"/>
            <w:vAlign w:val="center"/>
          </w:tcPr>
          <w:p w14:paraId="70A4D961"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Por la cual se adopta el Reglamento Administrativo, Operativo, Técnico y Académico de los Bomberos de Colombia.</w:t>
            </w:r>
          </w:p>
        </w:tc>
      </w:tr>
      <w:tr w:rsidR="00F74433" w14:paraId="6D7D33D3"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12E7B71D"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Resolución 1127de 2018</w:t>
            </w:r>
          </w:p>
        </w:tc>
        <w:tc>
          <w:tcPr>
            <w:tcW w:w="6946" w:type="dxa"/>
            <w:vAlign w:val="center"/>
          </w:tcPr>
          <w:p w14:paraId="5E689732"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Por medio de la cual se modifican algunos artículos del Reglamente Administrativo, Operativo, Técnico y Académico de los Bomberos de Colombia, adoptado por la Resolución 661 de 2014.</w:t>
            </w:r>
          </w:p>
        </w:tc>
      </w:tr>
      <w:tr w:rsidR="00F74433" w14:paraId="16A292E5" w14:textId="77777777" w:rsidTr="00F74433">
        <w:tc>
          <w:tcPr>
            <w:cnfStyle w:val="001000000000" w:firstRow="0" w:lastRow="0" w:firstColumn="1" w:lastColumn="0" w:oddVBand="0" w:evenVBand="0" w:oddHBand="0" w:evenHBand="0" w:firstRowFirstColumn="0" w:firstRowLastColumn="0" w:lastRowFirstColumn="0" w:lastRowLastColumn="0"/>
            <w:tcW w:w="2978" w:type="dxa"/>
            <w:vAlign w:val="center"/>
          </w:tcPr>
          <w:p w14:paraId="773A1D9C" w14:textId="77777777" w:rsidR="00F74433" w:rsidRDefault="00A46230">
            <w:pPr>
              <w:pStyle w:val="Default"/>
              <w:rPr>
                <w:rFonts w:ascii="Arial" w:hAnsi="Arial" w:cs="Arial"/>
                <w:b w:val="0"/>
                <w:bCs w:val="0"/>
                <w:color w:val="auto"/>
                <w:sz w:val="22"/>
                <w:szCs w:val="22"/>
              </w:rPr>
            </w:pPr>
            <w:r>
              <w:rPr>
                <w:rFonts w:ascii="Arial" w:hAnsi="Arial" w:cs="Arial"/>
                <w:color w:val="auto"/>
                <w:sz w:val="22"/>
                <w:szCs w:val="22"/>
              </w:rPr>
              <w:t>Acuerdo no. 761 de 2020</w:t>
            </w:r>
          </w:p>
          <w:p w14:paraId="0B8EE289" w14:textId="77777777" w:rsidR="00F74433" w:rsidRDefault="00F74433">
            <w:pPr>
              <w:pStyle w:val="Default"/>
              <w:rPr>
                <w:rFonts w:ascii="Arial" w:hAnsi="Arial" w:cs="Arial"/>
                <w:b w:val="0"/>
                <w:bCs w:val="0"/>
                <w:color w:val="auto"/>
                <w:sz w:val="22"/>
                <w:szCs w:val="22"/>
              </w:rPr>
            </w:pPr>
          </w:p>
        </w:tc>
        <w:tc>
          <w:tcPr>
            <w:tcW w:w="6946" w:type="dxa"/>
            <w:vAlign w:val="center"/>
          </w:tcPr>
          <w:p w14:paraId="039554CD"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“Un nuevo contrato social y ambiental para la Bogotá del siglo XXI”</w:t>
            </w:r>
          </w:p>
          <w:p w14:paraId="12E2E456"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p w14:paraId="255E82FF"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Artículo 15. Programas del Plan Distrital de Desarrollo:</w:t>
            </w:r>
          </w:p>
          <w:p w14:paraId="35D43C9D" w14:textId="77777777" w:rsidR="00F74433" w:rsidRDefault="00F74433">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p>
          <w:p w14:paraId="2A2633EB" w14:textId="77777777" w:rsidR="00F74433" w:rsidRDefault="00A46230">
            <w:pPr>
              <w:jc w:val="both"/>
              <w:cnfStyle w:val="000000000000" w:firstRow="0" w:lastRow="0" w:firstColumn="0" w:lastColumn="0" w:oddVBand="0" w:evenVBand="0" w:oddHBand="0" w:evenHBand="0" w:firstRowFirstColumn="0" w:firstRowLastColumn="0" w:lastRowFirstColumn="0" w:lastRowLastColumn="0"/>
              <w:rPr>
                <w:rFonts w:cs="Arial"/>
                <w:sz w:val="22"/>
                <w:szCs w:val="22"/>
              </w:rPr>
            </w:pPr>
            <w:r>
              <w:rPr>
                <w:rFonts w:cs="Arial"/>
                <w:sz w:val="22"/>
                <w:szCs w:val="22"/>
              </w:rPr>
              <w:t>Programa 30. Eficiencia en la atención de emergencias. Reducir la afectación, daño o pérdida de la vida, el ambiente, los bienes, infraestructura y patrimonio en general público o privado en la ciudad de Bogotá y la región a la que pertenece. Establecer de forma integral y transversal una adecuada respuesta, mediante la excelencia en el servicio bajo altos estándares de calidad, la preparación, contando con equipos especializados, medios de comunicación de última generación y personal altamente calificado y capacitado. Integrar planes encaminados a la organización y ejecución de las acciones necesarias para la utilización óptima de los recursos humanos y técnicos disponibles que suplan el fortalecimiento institucional con el fin de garantizar la adecuada gestión del riesgo.</w:t>
            </w:r>
          </w:p>
        </w:tc>
      </w:tr>
    </w:tbl>
    <w:p w14:paraId="75EA0A78" w14:textId="77777777" w:rsidR="00F74433" w:rsidRDefault="00F74433">
      <w:pPr>
        <w:suppressAutoHyphens/>
        <w:jc w:val="both"/>
        <w:rPr>
          <w:b/>
          <w:sz w:val="22"/>
          <w:szCs w:val="22"/>
        </w:rPr>
      </w:pPr>
    </w:p>
    <w:p w14:paraId="2EA08F09" w14:textId="77777777" w:rsidR="00F74433" w:rsidRDefault="00F74433">
      <w:pPr>
        <w:suppressAutoHyphens/>
        <w:jc w:val="both"/>
        <w:rPr>
          <w:bCs/>
          <w:sz w:val="22"/>
          <w:szCs w:val="22"/>
        </w:rPr>
      </w:pPr>
    </w:p>
    <w:p w14:paraId="609C2668" w14:textId="77777777" w:rsidR="00F74433" w:rsidRDefault="00A46230">
      <w:pPr>
        <w:pStyle w:val="Prrafodelista"/>
        <w:numPr>
          <w:ilvl w:val="0"/>
          <w:numId w:val="1"/>
        </w:numPr>
        <w:suppressAutoHyphens/>
        <w:jc w:val="both"/>
        <w:rPr>
          <w:b/>
          <w:szCs w:val="24"/>
        </w:rPr>
      </w:pPr>
      <w:r>
        <w:rPr>
          <w:b/>
          <w:szCs w:val="24"/>
        </w:rPr>
        <w:t xml:space="preserve">COMPETENCIA DEL CONCEJO DE BOGOTÁ </w:t>
      </w:r>
    </w:p>
    <w:p w14:paraId="617A5153" w14:textId="77777777" w:rsidR="00F74433" w:rsidRDefault="00F74433">
      <w:pPr>
        <w:suppressAutoHyphens/>
        <w:jc w:val="both"/>
        <w:rPr>
          <w:b/>
          <w:sz w:val="22"/>
          <w:szCs w:val="22"/>
        </w:rPr>
      </w:pPr>
    </w:p>
    <w:p w14:paraId="2C8ECC6C" w14:textId="77777777" w:rsidR="00F74433" w:rsidRDefault="00A46230">
      <w:pPr>
        <w:pStyle w:val="Prrafodelista"/>
        <w:numPr>
          <w:ilvl w:val="0"/>
          <w:numId w:val="2"/>
        </w:numPr>
        <w:suppressAutoHyphens/>
        <w:spacing w:line="276" w:lineRule="auto"/>
        <w:jc w:val="both"/>
        <w:rPr>
          <w:b/>
          <w:szCs w:val="24"/>
        </w:rPr>
      </w:pPr>
      <w:r>
        <w:rPr>
          <w:bCs/>
          <w:szCs w:val="24"/>
        </w:rPr>
        <w:t xml:space="preserve">El Concejo de </w:t>
      </w:r>
      <w:r w:rsidR="005C504F">
        <w:rPr>
          <w:bCs/>
          <w:szCs w:val="24"/>
        </w:rPr>
        <w:t>Bogotá</w:t>
      </w:r>
      <w:r>
        <w:rPr>
          <w:bCs/>
          <w:szCs w:val="24"/>
        </w:rPr>
        <w:t xml:space="preserve"> es competente para presentar la iniciativa de conformidad con el artículo 313, numerales 1° y 5° de la</w:t>
      </w:r>
      <w:r>
        <w:rPr>
          <w:b/>
          <w:szCs w:val="24"/>
        </w:rPr>
        <w:t xml:space="preserve"> Constitución Política de Colombia</w:t>
      </w:r>
      <w:r>
        <w:rPr>
          <w:bCs/>
          <w:szCs w:val="24"/>
        </w:rPr>
        <w:t>, a saber:</w:t>
      </w:r>
      <w:r>
        <w:rPr>
          <w:b/>
          <w:szCs w:val="24"/>
        </w:rPr>
        <w:t xml:space="preserve"> </w:t>
      </w:r>
    </w:p>
    <w:p w14:paraId="7D451AF4" w14:textId="77777777" w:rsidR="00F74433" w:rsidRDefault="00F74433">
      <w:pPr>
        <w:suppressAutoHyphens/>
        <w:spacing w:line="276" w:lineRule="auto"/>
        <w:jc w:val="both"/>
        <w:rPr>
          <w:bCs/>
          <w:sz w:val="22"/>
          <w:szCs w:val="22"/>
        </w:rPr>
      </w:pPr>
    </w:p>
    <w:p w14:paraId="5F280D08" w14:textId="77777777" w:rsidR="00F74433" w:rsidRDefault="00A46230">
      <w:pPr>
        <w:suppressAutoHyphens/>
        <w:spacing w:line="276" w:lineRule="auto"/>
        <w:ind w:left="142"/>
        <w:jc w:val="both"/>
        <w:rPr>
          <w:bCs/>
          <w:i/>
          <w:iCs/>
          <w:sz w:val="22"/>
          <w:szCs w:val="22"/>
        </w:rPr>
      </w:pPr>
      <w:r>
        <w:rPr>
          <w:b/>
          <w:i/>
          <w:iCs/>
          <w:sz w:val="22"/>
          <w:szCs w:val="22"/>
        </w:rPr>
        <w:t>Artículo 313.</w:t>
      </w:r>
      <w:r>
        <w:rPr>
          <w:bCs/>
          <w:i/>
          <w:iCs/>
          <w:sz w:val="22"/>
          <w:szCs w:val="22"/>
        </w:rPr>
        <w:t xml:space="preserve"> Corresponde a los concejos:</w:t>
      </w:r>
    </w:p>
    <w:p w14:paraId="1E88D8A1" w14:textId="77777777" w:rsidR="00F74433" w:rsidRDefault="00F74433">
      <w:pPr>
        <w:suppressAutoHyphens/>
        <w:ind w:left="142"/>
        <w:jc w:val="both"/>
        <w:rPr>
          <w:bCs/>
          <w:i/>
          <w:iCs/>
          <w:sz w:val="22"/>
          <w:szCs w:val="22"/>
          <w:u w:val="single"/>
        </w:rPr>
      </w:pPr>
    </w:p>
    <w:p w14:paraId="02EB6179" w14:textId="77777777" w:rsidR="00F74433" w:rsidRDefault="00A46230">
      <w:pPr>
        <w:suppressAutoHyphens/>
        <w:ind w:left="142"/>
        <w:jc w:val="both"/>
        <w:rPr>
          <w:bCs/>
          <w:i/>
          <w:iCs/>
          <w:sz w:val="22"/>
          <w:szCs w:val="22"/>
          <w:u w:val="single"/>
        </w:rPr>
      </w:pPr>
      <w:r>
        <w:rPr>
          <w:bCs/>
          <w:i/>
          <w:iCs/>
          <w:sz w:val="22"/>
          <w:szCs w:val="22"/>
          <w:u w:val="single"/>
        </w:rPr>
        <w:t>1. Reglamentar las funciones y la eficiente prestación de los servicios a cargo del municipio.</w:t>
      </w:r>
    </w:p>
    <w:p w14:paraId="1B070F4A" w14:textId="77777777" w:rsidR="00F74433" w:rsidRDefault="00F74433">
      <w:pPr>
        <w:suppressAutoHyphens/>
        <w:ind w:left="142"/>
        <w:jc w:val="both"/>
        <w:rPr>
          <w:bCs/>
          <w:i/>
          <w:iCs/>
          <w:sz w:val="22"/>
          <w:szCs w:val="22"/>
          <w:u w:val="single"/>
        </w:rPr>
      </w:pPr>
    </w:p>
    <w:p w14:paraId="78E2436D" w14:textId="77777777" w:rsidR="00F74433" w:rsidRDefault="00A46230">
      <w:pPr>
        <w:suppressAutoHyphens/>
        <w:ind w:left="142"/>
        <w:jc w:val="both"/>
        <w:rPr>
          <w:bCs/>
          <w:i/>
          <w:iCs/>
          <w:sz w:val="22"/>
          <w:szCs w:val="22"/>
          <w:u w:val="single"/>
        </w:rPr>
      </w:pPr>
      <w:r>
        <w:rPr>
          <w:bCs/>
          <w:i/>
          <w:iCs/>
          <w:sz w:val="22"/>
          <w:szCs w:val="22"/>
          <w:u w:val="single"/>
        </w:rPr>
        <w:t>5. Dictar las normas orgánicas del presupuesto y expedir anualmente el presupuesto de rentas y gastos.</w:t>
      </w:r>
    </w:p>
    <w:p w14:paraId="1B41B0A0" w14:textId="77777777" w:rsidR="00F74433" w:rsidRDefault="00F74433">
      <w:pPr>
        <w:suppressAutoHyphens/>
        <w:jc w:val="both"/>
        <w:rPr>
          <w:bCs/>
          <w:sz w:val="22"/>
          <w:szCs w:val="22"/>
        </w:rPr>
      </w:pPr>
    </w:p>
    <w:p w14:paraId="42219FB3" w14:textId="77777777" w:rsidR="00F74433" w:rsidRDefault="00F74433">
      <w:pPr>
        <w:suppressAutoHyphens/>
        <w:jc w:val="both"/>
        <w:rPr>
          <w:bCs/>
          <w:sz w:val="22"/>
          <w:szCs w:val="22"/>
        </w:rPr>
      </w:pPr>
    </w:p>
    <w:p w14:paraId="1EF86B00" w14:textId="77777777" w:rsidR="00F74433" w:rsidRDefault="00A46230">
      <w:pPr>
        <w:pStyle w:val="Prrafodelista"/>
        <w:numPr>
          <w:ilvl w:val="0"/>
          <w:numId w:val="3"/>
        </w:numPr>
        <w:suppressAutoHyphens/>
        <w:spacing w:line="276" w:lineRule="auto"/>
        <w:jc w:val="both"/>
        <w:rPr>
          <w:bCs/>
          <w:szCs w:val="24"/>
        </w:rPr>
      </w:pPr>
      <w:r>
        <w:rPr>
          <w:bCs/>
          <w:szCs w:val="24"/>
        </w:rPr>
        <w:t xml:space="preserve">Igualmente, de acuerdo con el artículo 8, artículo 12; numerales 1° y 4° y el artículo 13 del </w:t>
      </w:r>
      <w:r>
        <w:rPr>
          <w:b/>
          <w:szCs w:val="24"/>
        </w:rPr>
        <w:t xml:space="preserve">Estatuto Orgánico de Bogotá </w:t>
      </w:r>
      <w:r>
        <w:rPr>
          <w:bCs/>
          <w:szCs w:val="24"/>
        </w:rPr>
        <w:t xml:space="preserve">(Decreto Ley 1421 de 1993), el Concejo de Bogotá es competente para presentar, discutir y someter a votación la presente iniciativa.   </w:t>
      </w:r>
    </w:p>
    <w:p w14:paraId="3B2D91BA" w14:textId="77777777" w:rsidR="00F74433" w:rsidRDefault="00F74433">
      <w:pPr>
        <w:suppressAutoHyphens/>
        <w:jc w:val="both"/>
        <w:rPr>
          <w:bCs/>
          <w:sz w:val="22"/>
          <w:szCs w:val="22"/>
        </w:rPr>
      </w:pPr>
    </w:p>
    <w:p w14:paraId="5E3C6549" w14:textId="77777777" w:rsidR="00F74433" w:rsidRDefault="00A46230">
      <w:pPr>
        <w:suppressAutoHyphens/>
        <w:spacing w:line="276" w:lineRule="auto"/>
        <w:ind w:left="426"/>
        <w:jc w:val="both"/>
        <w:rPr>
          <w:b/>
          <w:i/>
          <w:iCs/>
          <w:sz w:val="22"/>
          <w:szCs w:val="22"/>
        </w:rPr>
      </w:pPr>
      <w:r>
        <w:rPr>
          <w:b/>
          <w:i/>
          <w:iCs/>
          <w:sz w:val="22"/>
          <w:szCs w:val="22"/>
        </w:rPr>
        <w:t xml:space="preserve">ARTÍCULO 8. Funciones Generales. </w:t>
      </w:r>
      <w:r>
        <w:rPr>
          <w:bCs/>
          <w:i/>
          <w:iCs/>
          <w:sz w:val="22"/>
          <w:szCs w:val="22"/>
        </w:rPr>
        <w:t>El Concejo es la suprema autoridad del Distrito Capital. En materia administrativa sus atribuciones son de carácter normativo. También le corresponde vigilar y controlar la gestión que cumpla las autoridades distritales.</w:t>
      </w:r>
    </w:p>
    <w:p w14:paraId="4E067DC1" w14:textId="77777777" w:rsidR="00F74433" w:rsidRDefault="00F74433">
      <w:pPr>
        <w:suppressAutoHyphens/>
        <w:spacing w:line="276" w:lineRule="auto"/>
        <w:ind w:left="426"/>
        <w:jc w:val="both"/>
        <w:rPr>
          <w:b/>
          <w:i/>
          <w:iCs/>
          <w:sz w:val="22"/>
          <w:szCs w:val="22"/>
        </w:rPr>
      </w:pPr>
    </w:p>
    <w:p w14:paraId="6A1345F4" w14:textId="77777777" w:rsidR="00F74433" w:rsidRDefault="00A46230">
      <w:pPr>
        <w:suppressAutoHyphens/>
        <w:spacing w:line="276" w:lineRule="auto"/>
        <w:ind w:left="426"/>
        <w:jc w:val="both"/>
        <w:rPr>
          <w:b/>
          <w:i/>
          <w:iCs/>
          <w:sz w:val="22"/>
          <w:szCs w:val="22"/>
        </w:rPr>
      </w:pPr>
      <w:r>
        <w:rPr>
          <w:b/>
          <w:i/>
          <w:iCs/>
          <w:sz w:val="22"/>
          <w:szCs w:val="22"/>
        </w:rPr>
        <w:t xml:space="preserve">ARTÍCULO 12. Atribuciones. </w:t>
      </w:r>
      <w:r>
        <w:rPr>
          <w:bCs/>
          <w:i/>
          <w:iCs/>
          <w:sz w:val="22"/>
          <w:szCs w:val="22"/>
        </w:rPr>
        <w:t>Corresponde al Concejo Distrital, de conformidad con la constitución y la ley:</w:t>
      </w:r>
    </w:p>
    <w:p w14:paraId="006F909D" w14:textId="77777777" w:rsidR="00F74433" w:rsidRDefault="00F74433">
      <w:pPr>
        <w:suppressAutoHyphens/>
        <w:spacing w:line="276" w:lineRule="auto"/>
        <w:ind w:left="426"/>
        <w:jc w:val="both"/>
        <w:rPr>
          <w:b/>
          <w:i/>
          <w:iCs/>
          <w:sz w:val="22"/>
          <w:szCs w:val="22"/>
        </w:rPr>
      </w:pPr>
    </w:p>
    <w:p w14:paraId="530B8AE2" w14:textId="77777777" w:rsidR="00F74433" w:rsidRDefault="00A46230">
      <w:pPr>
        <w:suppressAutoHyphens/>
        <w:spacing w:line="276" w:lineRule="auto"/>
        <w:ind w:left="426"/>
        <w:jc w:val="both"/>
        <w:rPr>
          <w:bCs/>
          <w:i/>
          <w:iCs/>
          <w:sz w:val="22"/>
          <w:szCs w:val="22"/>
          <w:u w:val="single"/>
        </w:rPr>
      </w:pPr>
      <w:r>
        <w:rPr>
          <w:bCs/>
          <w:i/>
          <w:iCs/>
          <w:sz w:val="22"/>
          <w:szCs w:val="22"/>
          <w:u w:val="single"/>
        </w:rPr>
        <w:t>1. Dictar las normas necesarias para garantizar el adecuado cumplimiento de las funciones y la eficiente prestación de los servicios a cargo del Distrito.</w:t>
      </w:r>
    </w:p>
    <w:p w14:paraId="7CDBF49D" w14:textId="77777777" w:rsidR="00F74433" w:rsidRDefault="00F74433">
      <w:pPr>
        <w:suppressAutoHyphens/>
        <w:spacing w:line="276" w:lineRule="auto"/>
        <w:ind w:left="426"/>
        <w:jc w:val="both"/>
        <w:rPr>
          <w:bCs/>
          <w:i/>
          <w:iCs/>
          <w:sz w:val="22"/>
          <w:szCs w:val="22"/>
        </w:rPr>
      </w:pPr>
    </w:p>
    <w:p w14:paraId="1D4421A6" w14:textId="77777777" w:rsidR="00F74433" w:rsidRDefault="00A46230">
      <w:pPr>
        <w:suppressAutoHyphens/>
        <w:spacing w:line="276" w:lineRule="auto"/>
        <w:ind w:left="426"/>
        <w:jc w:val="both"/>
        <w:rPr>
          <w:rFonts w:cs="Arial"/>
          <w:i/>
          <w:iCs/>
          <w:sz w:val="22"/>
          <w:szCs w:val="22"/>
          <w:u w:val="single"/>
        </w:rPr>
      </w:pPr>
      <w:r>
        <w:rPr>
          <w:bCs/>
          <w:i/>
          <w:iCs/>
          <w:sz w:val="22"/>
          <w:szCs w:val="22"/>
          <w:u w:val="single"/>
        </w:rPr>
        <w:t xml:space="preserve">4. Dictar las normas orgánicas del presupuesto y expedir anualmente el presupuesto de rentas y gastos. </w:t>
      </w:r>
    </w:p>
    <w:p w14:paraId="59CBA576" w14:textId="77777777" w:rsidR="00F74433" w:rsidRDefault="00F74433">
      <w:pPr>
        <w:suppressAutoHyphens/>
        <w:spacing w:line="276" w:lineRule="auto"/>
        <w:ind w:left="426"/>
        <w:jc w:val="both"/>
        <w:rPr>
          <w:b/>
          <w:i/>
          <w:iCs/>
          <w:sz w:val="22"/>
          <w:szCs w:val="22"/>
        </w:rPr>
      </w:pPr>
    </w:p>
    <w:p w14:paraId="749776A2" w14:textId="77777777" w:rsidR="00F74433" w:rsidRDefault="00A46230">
      <w:pPr>
        <w:suppressAutoHyphens/>
        <w:spacing w:line="276" w:lineRule="auto"/>
        <w:ind w:left="426"/>
        <w:jc w:val="both"/>
        <w:rPr>
          <w:bCs/>
          <w:i/>
          <w:iCs/>
          <w:sz w:val="22"/>
          <w:szCs w:val="22"/>
        </w:rPr>
      </w:pPr>
      <w:r>
        <w:rPr>
          <w:b/>
          <w:i/>
          <w:iCs/>
          <w:sz w:val="22"/>
          <w:szCs w:val="22"/>
        </w:rPr>
        <w:t>ARTÍCULO 13. Iniciativa.</w:t>
      </w:r>
      <w:r>
        <w:rPr>
          <w:bCs/>
          <w:i/>
          <w:iCs/>
          <w:sz w:val="22"/>
          <w:szCs w:val="22"/>
        </w:rPr>
        <w:t xml:space="preserve"> 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 </w:t>
      </w:r>
    </w:p>
    <w:p w14:paraId="71AF0BBA" w14:textId="77777777" w:rsidR="00F74433" w:rsidRDefault="00F74433">
      <w:pPr>
        <w:suppressAutoHyphens/>
        <w:spacing w:line="276" w:lineRule="auto"/>
        <w:ind w:left="426"/>
        <w:jc w:val="both"/>
        <w:rPr>
          <w:bCs/>
          <w:i/>
          <w:iCs/>
          <w:sz w:val="22"/>
          <w:szCs w:val="22"/>
        </w:rPr>
      </w:pPr>
    </w:p>
    <w:p w14:paraId="6361C78B" w14:textId="77777777" w:rsidR="00F74433" w:rsidRDefault="00A46230">
      <w:pPr>
        <w:suppressAutoHyphens/>
        <w:spacing w:line="276" w:lineRule="auto"/>
        <w:ind w:left="426"/>
        <w:jc w:val="both"/>
        <w:rPr>
          <w:rFonts w:cs="Arial"/>
          <w:i/>
          <w:iCs/>
          <w:color w:val="000000" w:themeColor="text1"/>
          <w:sz w:val="22"/>
          <w:szCs w:val="22"/>
        </w:rPr>
      </w:pPr>
      <w:r>
        <w:rPr>
          <w:rFonts w:cs="Arial"/>
          <w:i/>
          <w:iCs/>
          <w:color w:val="000000" w:themeColor="text1"/>
          <w:sz w:val="22"/>
          <w:szCs w:val="22"/>
        </w:rPr>
        <w:t>Sólo podrán ser dictados o reformados a iniciativa del alcalde los acuerdos a que se refieren los ordinales 2o., 3o., 4o., 5o., 8o., 9o., 14, 16, 17 y 21 del artículo anterior. Igualmente, sólo podrán ser dictados o reformados a iniciativa del alcalde los acuerdos que decreten inversiones, ordenen servicios a cargo del Distrito, autoricen enajenar sus bienes y dispongan exenciones tributarias o cedan sus rentas. El Concejo podrá introducir modificaciones a los proyectos presentados por el Alcalde.</w:t>
      </w:r>
    </w:p>
    <w:p w14:paraId="39310BC5" w14:textId="77777777" w:rsidR="00F74433" w:rsidRDefault="00F74433">
      <w:pPr>
        <w:suppressAutoHyphens/>
        <w:spacing w:line="276" w:lineRule="auto"/>
        <w:jc w:val="both"/>
        <w:rPr>
          <w:bCs/>
          <w:i/>
          <w:iCs/>
          <w:sz w:val="22"/>
          <w:szCs w:val="22"/>
        </w:rPr>
      </w:pPr>
    </w:p>
    <w:p w14:paraId="299D4A1A" w14:textId="77777777" w:rsidR="00F74433" w:rsidRDefault="00A46230">
      <w:pPr>
        <w:suppressAutoHyphens/>
        <w:spacing w:line="276" w:lineRule="auto"/>
        <w:jc w:val="both"/>
        <w:rPr>
          <w:bCs/>
          <w:szCs w:val="24"/>
        </w:rPr>
      </w:pPr>
      <w:r>
        <w:rPr>
          <w:bCs/>
          <w:szCs w:val="24"/>
        </w:rPr>
        <w:t xml:space="preserve">De acuerdo con el artículo 13, se infiere que la competencia del Concejo de Bogotá en la materia es limitada, toda vez que ordinales como el 4° del artículo 12 solo podrán ser dictados o reformados a iniciativa del alcalde. Sin embargo, esta limitante de orden legal puede ser subsanable en el desarrollo del trámite de la discusión y aprobación puesto que la Administración Distrital participa en el mismo fundamentado en la emisión de un concepto mediante el cual otorga viabilidad o no a la iniciativa. </w:t>
      </w:r>
    </w:p>
    <w:p w14:paraId="12309081" w14:textId="77777777" w:rsidR="00F74433" w:rsidRDefault="00F74433">
      <w:pPr>
        <w:suppressAutoHyphens/>
        <w:spacing w:line="276" w:lineRule="auto"/>
        <w:jc w:val="both"/>
        <w:rPr>
          <w:bCs/>
          <w:sz w:val="22"/>
          <w:szCs w:val="22"/>
        </w:rPr>
      </w:pPr>
    </w:p>
    <w:p w14:paraId="6C245C28" w14:textId="77777777" w:rsidR="00F74433" w:rsidRDefault="00A46230">
      <w:pPr>
        <w:pStyle w:val="Prrafodelista"/>
        <w:numPr>
          <w:ilvl w:val="0"/>
          <w:numId w:val="3"/>
        </w:numPr>
        <w:suppressAutoHyphens/>
        <w:spacing w:line="276" w:lineRule="auto"/>
        <w:jc w:val="both"/>
        <w:rPr>
          <w:rFonts w:cs="Arial"/>
          <w:szCs w:val="24"/>
        </w:rPr>
      </w:pPr>
      <w:r>
        <w:rPr>
          <w:rFonts w:cs="Arial"/>
          <w:szCs w:val="24"/>
        </w:rPr>
        <w:t xml:space="preserve">Por otra parte, es importante mencionar lo dispuesto en el artículo 35 del </w:t>
      </w:r>
      <w:r>
        <w:rPr>
          <w:rFonts w:cs="Arial"/>
          <w:b/>
          <w:bCs/>
          <w:szCs w:val="24"/>
        </w:rPr>
        <w:t xml:space="preserve">Acuerdo 741 de 2019 </w:t>
      </w:r>
      <w:r>
        <w:rPr>
          <w:rFonts w:cs="Arial"/>
          <w:szCs w:val="24"/>
        </w:rPr>
        <w:t>(Reglamento Interno Concejo de Bogotá):</w:t>
      </w:r>
    </w:p>
    <w:p w14:paraId="49F06CAE" w14:textId="77777777" w:rsidR="00F74433" w:rsidRDefault="00F74433">
      <w:pPr>
        <w:suppressAutoHyphens/>
        <w:spacing w:line="276" w:lineRule="auto"/>
        <w:jc w:val="both"/>
        <w:rPr>
          <w:bCs/>
          <w:sz w:val="22"/>
          <w:szCs w:val="22"/>
        </w:rPr>
      </w:pPr>
    </w:p>
    <w:p w14:paraId="27863CAF" w14:textId="77777777" w:rsidR="00F74433" w:rsidRDefault="00A46230">
      <w:pPr>
        <w:suppressAutoHyphens/>
        <w:spacing w:line="276" w:lineRule="auto"/>
        <w:jc w:val="both"/>
      </w:pPr>
      <w:r>
        <w:rPr>
          <w:b/>
          <w:bCs/>
        </w:rPr>
        <w:t>ARTÍCULO 35.- COMISIÓN TERCERA PERMANENTE DE HACIENDA Y CRÉDITO PÚBLICO</w:t>
      </w:r>
      <w:r>
        <w:t xml:space="preserve">. Es la encargada de ejercer la función normativa y de control político, exclusivamente al cumplimiento de los objetivos misionales de los Sectores Administrativos de: Hacienda; Desarrollo Económico, Industria y Turismo y de sus entidades adscritas y vinculadas, en la estructura de la Administración Pública Distrital y en especial sobre los siguientes asuntos: </w:t>
      </w:r>
    </w:p>
    <w:p w14:paraId="63D2C782" w14:textId="77777777" w:rsidR="00F74433" w:rsidRDefault="00F74433">
      <w:pPr>
        <w:suppressAutoHyphens/>
        <w:spacing w:line="276" w:lineRule="auto"/>
        <w:jc w:val="both"/>
        <w:rPr>
          <w:u w:val="single"/>
        </w:rPr>
      </w:pPr>
    </w:p>
    <w:p w14:paraId="283CC070" w14:textId="77777777" w:rsidR="00F74433" w:rsidRDefault="00A46230">
      <w:pPr>
        <w:pStyle w:val="Prrafodelista"/>
        <w:numPr>
          <w:ilvl w:val="0"/>
          <w:numId w:val="4"/>
        </w:numPr>
        <w:suppressAutoHyphens/>
        <w:spacing w:line="276" w:lineRule="auto"/>
        <w:jc w:val="both"/>
        <w:rPr>
          <w:u w:val="single"/>
        </w:rPr>
      </w:pPr>
      <w:r>
        <w:rPr>
          <w:u w:val="single"/>
        </w:rPr>
        <w:t>Plan Anual de Ingresos, Rentas y Gastos e Inversiones en el Distrito Capital. Aprobación del presupuesto anual y sus modificaciones presupuestales de conformidad con la Constitución, la ley y demás normas concordantes.</w:t>
      </w:r>
    </w:p>
    <w:p w14:paraId="3DAF45FB" w14:textId="77777777" w:rsidR="00F74433" w:rsidRDefault="00F74433">
      <w:pPr>
        <w:pStyle w:val="Prrafodelista"/>
        <w:suppressAutoHyphens/>
        <w:spacing w:line="276" w:lineRule="auto"/>
        <w:ind w:left="720"/>
        <w:jc w:val="both"/>
        <w:rPr>
          <w:u w:val="single"/>
        </w:rPr>
      </w:pPr>
    </w:p>
    <w:p w14:paraId="081C77FE" w14:textId="77777777" w:rsidR="00F74433" w:rsidRDefault="00F74433">
      <w:pPr>
        <w:suppressAutoHyphens/>
        <w:spacing w:line="276" w:lineRule="auto"/>
        <w:jc w:val="both"/>
        <w:rPr>
          <w:bCs/>
          <w:sz w:val="22"/>
          <w:szCs w:val="22"/>
        </w:rPr>
      </w:pPr>
    </w:p>
    <w:p w14:paraId="4733FB87" w14:textId="77777777" w:rsidR="00F74433" w:rsidRDefault="00A46230">
      <w:pPr>
        <w:pStyle w:val="Prrafodelista"/>
        <w:numPr>
          <w:ilvl w:val="0"/>
          <w:numId w:val="1"/>
        </w:numPr>
        <w:suppressAutoHyphens/>
        <w:jc w:val="both"/>
        <w:rPr>
          <w:b/>
          <w:szCs w:val="24"/>
        </w:rPr>
      </w:pPr>
      <w:r>
        <w:rPr>
          <w:b/>
          <w:szCs w:val="24"/>
        </w:rPr>
        <w:t xml:space="preserve">JUSTIFICACIÓN Y ANÁLISIS DE CONVENIENCIA DE LA INICIATIVA </w:t>
      </w:r>
    </w:p>
    <w:p w14:paraId="304542FC" w14:textId="77777777" w:rsidR="00F74433" w:rsidRDefault="00F74433">
      <w:pPr>
        <w:suppressAutoHyphens/>
        <w:jc w:val="both"/>
        <w:rPr>
          <w:b/>
          <w:szCs w:val="24"/>
        </w:rPr>
      </w:pPr>
    </w:p>
    <w:p w14:paraId="6C278853" w14:textId="77777777" w:rsidR="00F74433" w:rsidRDefault="00A46230">
      <w:pPr>
        <w:pStyle w:val="Default"/>
        <w:spacing w:line="276" w:lineRule="auto"/>
        <w:jc w:val="both"/>
        <w:rPr>
          <w:rFonts w:ascii="Arial" w:hAnsi="Arial" w:cs="Arial"/>
        </w:rPr>
      </w:pPr>
      <w:r>
        <w:rPr>
          <w:rFonts w:ascii="Arial" w:hAnsi="Arial" w:cs="Arial"/>
          <w:lang w:val="es-ES"/>
        </w:rPr>
        <w:t>De</w:t>
      </w:r>
      <w:r>
        <w:rPr>
          <w:rFonts w:ascii="Arial" w:hAnsi="Arial" w:cs="Arial"/>
        </w:rPr>
        <w:t xml:space="preserve"> conformidad con la Ley 1523 de 2012, el decreto distrital 172 de 2014, el acuerdo 761 de 2020, el decreto 541 de 2006 y el Marco de Actuación Estrategia Distrital para la Respuesta a Emergencias “la gestión del riesgo de desastres es responsabilidad de todas las autoridades del territorio colombiano”, “El alcalde, como conductor del desarrollo local, es el director responsable de la implementación de los procesos de gestión del riego en el distrito o municipio, incluyendo el conocimiento y la reducción del riesgo y el manejo de desastres en el área de su jurisdicción.”,  “se asignó</w:t>
      </w:r>
      <w:r>
        <w:rPr>
          <w:rFonts w:ascii="Arial" w:hAnsi="Arial" w:cs="Arial"/>
          <w:color w:val="auto"/>
        </w:rPr>
        <w:t xml:space="preserve"> a la gestión del riesgo de desastres el carácter de proceso social, y le atribuyó el propósito final de contribuir a la seguridad, el bienestar, la calidad de vida de las personas y el desarrollo sostenible</w:t>
      </w:r>
      <w:r>
        <w:rPr>
          <w:rFonts w:ascii="Arial" w:hAnsi="Arial" w:cs="Arial"/>
        </w:rPr>
        <w:t>”.</w:t>
      </w:r>
    </w:p>
    <w:p w14:paraId="43A5BCA2" w14:textId="77777777" w:rsidR="00F74433" w:rsidRDefault="00F74433">
      <w:pPr>
        <w:pStyle w:val="Default"/>
        <w:spacing w:line="276" w:lineRule="auto"/>
        <w:jc w:val="both"/>
        <w:rPr>
          <w:rFonts w:ascii="Arial" w:hAnsi="Arial" w:cs="Arial"/>
        </w:rPr>
      </w:pPr>
    </w:p>
    <w:p w14:paraId="48425CA8" w14:textId="77777777" w:rsidR="00F74433" w:rsidRDefault="00A46230">
      <w:pPr>
        <w:pStyle w:val="Default"/>
        <w:spacing w:line="276" w:lineRule="auto"/>
        <w:jc w:val="both"/>
        <w:rPr>
          <w:rFonts w:ascii="Arial" w:hAnsi="Arial" w:cs="Arial"/>
        </w:rPr>
      </w:pPr>
      <w:r>
        <w:rPr>
          <w:rFonts w:ascii="Arial" w:hAnsi="Arial" w:cs="Arial"/>
        </w:rPr>
        <w:t xml:space="preserve">De acuerdo con esta normatividad, se cuenta con las siguientes entidades ejecutoras de servicios de respuesta a emergencias en </w:t>
      </w:r>
      <w:r w:rsidR="00932936">
        <w:rPr>
          <w:rFonts w:ascii="Arial" w:hAnsi="Arial" w:cs="Arial"/>
        </w:rPr>
        <w:t>Bogotá</w:t>
      </w:r>
      <w:r>
        <w:rPr>
          <w:rFonts w:ascii="Arial" w:hAnsi="Arial" w:cs="Arial"/>
        </w:rPr>
        <w:t xml:space="preserve"> D.C. la Unidad Administrativa Especial del Cuerpo Oficial de Bomberos de Bogotá (UAECOB), los Bomberos Voluntarios de Bogotá, la Defensa Civil Seccional Bogotá y la Cruz Roja Colombiana Seccional Cundinamarca y Bogotá.</w:t>
      </w:r>
    </w:p>
    <w:p w14:paraId="34E96FA6" w14:textId="77777777" w:rsidR="00F74433" w:rsidRDefault="00F74433">
      <w:pPr>
        <w:pStyle w:val="Default"/>
        <w:spacing w:line="276" w:lineRule="auto"/>
        <w:jc w:val="both"/>
        <w:rPr>
          <w:rFonts w:ascii="Arial" w:hAnsi="Arial" w:cs="Arial"/>
        </w:rPr>
      </w:pPr>
    </w:p>
    <w:p w14:paraId="7A6D0C3E" w14:textId="77777777" w:rsidR="00F74433" w:rsidRDefault="00A46230">
      <w:pPr>
        <w:pStyle w:val="Default"/>
        <w:spacing w:line="276" w:lineRule="auto"/>
        <w:jc w:val="both"/>
        <w:rPr>
          <w:rFonts w:ascii="Arial" w:hAnsi="Arial" w:cs="Arial"/>
        </w:rPr>
      </w:pPr>
      <w:r>
        <w:rPr>
          <w:rFonts w:ascii="Arial" w:hAnsi="Arial" w:cs="Arial"/>
        </w:rPr>
        <w:t>Siendo la Unidad Administrativa Especial del Cuerpo Oficial de Bomberos de Bogotá (UAECOB) la responsable principal de la ejecución y coordinación de los servicios de respuesta en búsqueda y rescate, extinción de incendios y atención en incidentes de materiales peligrosos, desarrolló en conjunto con la Universidad Nacional de Colombia un contrato interadministrativo entre diciembre de 2020 y julio de 2021</w:t>
      </w:r>
      <w:r>
        <w:rPr>
          <w:rStyle w:val="Refdenotaalpie"/>
          <w:rFonts w:ascii="Arial" w:hAnsi="Arial" w:cs="Arial"/>
        </w:rPr>
        <w:footnoteReference w:id="1"/>
      </w:r>
      <w:r>
        <w:rPr>
          <w:rFonts w:ascii="Arial" w:hAnsi="Arial" w:cs="Arial"/>
        </w:rPr>
        <w:t xml:space="preserve"> con el fin de determinar la capacidad necesaria para atender un sismo de gran magnitud en la ciudad de Bogotá de acuerdo a su misionalidad, con base en esto la UAECOB se encuentra diseñando el  proceso de fortalecimiento institucional mediante la preparación y puesta en marcha de alcanzar su capacidad viable para la atención de los escenarios de afectación en rescate, incendios y materiales peligrosos en un horizonte de 10 años, atendiendo su misionalidad de proteger y salvar vidas, sin embargo,  a pesar de esta preparación de la UAECOB durante 10 años, es critica la brecha que da como resultado de esta </w:t>
      </w:r>
      <w:r>
        <w:rPr>
          <w:rFonts w:ascii="Arial" w:hAnsi="Arial" w:cs="Arial"/>
          <w:lang w:val="es-ES"/>
        </w:rPr>
        <w:t>preparación</w:t>
      </w:r>
      <w:r>
        <w:rPr>
          <w:rFonts w:ascii="Arial" w:hAnsi="Arial" w:cs="Arial"/>
        </w:rPr>
        <w:t xml:space="preserve"> proyectada y las necesidades del distrito en la demanda de servicios de rescate, incendios y materiales peligrosos según los resultados del modelo del proyecto y la capacidad (proyectada) de la UAECOB según como sigue:</w:t>
      </w:r>
    </w:p>
    <w:p w14:paraId="568462A1" w14:textId="77777777" w:rsidR="00F74433" w:rsidRDefault="00F74433">
      <w:pPr>
        <w:pStyle w:val="Default"/>
        <w:spacing w:line="276" w:lineRule="auto"/>
        <w:jc w:val="both"/>
        <w:rPr>
          <w:rFonts w:ascii="Arial" w:hAnsi="Arial" w:cs="Arial"/>
        </w:rPr>
      </w:pP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90"/>
        <w:gridCol w:w="1559"/>
        <w:gridCol w:w="1417"/>
        <w:gridCol w:w="1426"/>
        <w:gridCol w:w="2126"/>
        <w:gridCol w:w="1346"/>
      </w:tblGrid>
      <w:tr w:rsidR="00F74433" w14:paraId="4E62FB6E" w14:textId="77777777">
        <w:trPr>
          <w:trHeight w:val="595"/>
        </w:trPr>
        <w:tc>
          <w:tcPr>
            <w:tcW w:w="4566" w:type="dxa"/>
            <w:gridSpan w:val="3"/>
            <w:tcBorders>
              <w:top w:val="nil"/>
              <w:left w:val="nil"/>
            </w:tcBorders>
            <w:shd w:val="solid" w:color="FFFFFF" w:fill="auto"/>
          </w:tcPr>
          <w:p w14:paraId="2FC8A842" w14:textId="77777777" w:rsidR="00F74433" w:rsidRDefault="00F74433">
            <w:pPr>
              <w:autoSpaceDE w:val="0"/>
              <w:autoSpaceDN w:val="0"/>
              <w:adjustRightInd w:val="0"/>
              <w:jc w:val="center"/>
              <w:rPr>
                <w:rFonts w:cs="Arial"/>
                <w:sz w:val="22"/>
              </w:rPr>
            </w:pPr>
          </w:p>
        </w:tc>
        <w:tc>
          <w:tcPr>
            <w:tcW w:w="1426" w:type="dxa"/>
            <w:shd w:val="solid" w:color="FFFFFF" w:fill="auto"/>
          </w:tcPr>
          <w:p w14:paraId="3FEBC9CA" w14:textId="77777777" w:rsidR="00F74433" w:rsidRDefault="00A46230">
            <w:pPr>
              <w:autoSpaceDE w:val="0"/>
              <w:autoSpaceDN w:val="0"/>
              <w:adjustRightInd w:val="0"/>
              <w:jc w:val="center"/>
              <w:rPr>
                <w:rFonts w:cs="Arial"/>
                <w:b/>
                <w:bCs/>
                <w:sz w:val="22"/>
              </w:rPr>
            </w:pPr>
            <w:r>
              <w:rPr>
                <w:rFonts w:cs="Arial"/>
                <w:b/>
                <w:bCs/>
                <w:sz w:val="22"/>
              </w:rPr>
              <w:t>Demanda de servicios</w:t>
            </w:r>
          </w:p>
        </w:tc>
        <w:tc>
          <w:tcPr>
            <w:tcW w:w="2126" w:type="dxa"/>
            <w:shd w:val="solid" w:color="FFFFFF" w:fill="auto"/>
          </w:tcPr>
          <w:p w14:paraId="53A90DBE" w14:textId="77777777" w:rsidR="00F74433" w:rsidRDefault="00A46230">
            <w:pPr>
              <w:autoSpaceDE w:val="0"/>
              <w:autoSpaceDN w:val="0"/>
              <w:adjustRightInd w:val="0"/>
              <w:jc w:val="center"/>
              <w:rPr>
                <w:rFonts w:cs="Arial"/>
                <w:b/>
                <w:bCs/>
                <w:sz w:val="22"/>
              </w:rPr>
            </w:pPr>
            <w:r>
              <w:rPr>
                <w:rFonts w:cs="Arial"/>
                <w:b/>
                <w:bCs/>
                <w:sz w:val="22"/>
              </w:rPr>
              <w:t>Capacidad viable en 10 años de la UAECOB</w:t>
            </w:r>
          </w:p>
        </w:tc>
        <w:tc>
          <w:tcPr>
            <w:tcW w:w="1346" w:type="dxa"/>
            <w:shd w:val="solid" w:color="FFFFFF" w:fill="auto"/>
          </w:tcPr>
          <w:p w14:paraId="1781172E" w14:textId="77777777" w:rsidR="00F74433" w:rsidRDefault="00A46230">
            <w:pPr>
              <w:autoSpaceDE w:val="0"/>
              <w:autoSpaceDN w:val="0"/>
              <w:adjustRightInd w:val="0"/>
              <w:jc w:val="center"/>
              <w:rPr>
                <w:rFonts w:cs="Arial"/>
                <w:b/>
                <w:bCs/>
                <w:sz w:val="22"/>
              </w:rPr>
            </w:pPr>
            <w:r>
              <w:rPr>
                <w:rFonts w:cs="Arial"/>
                <w:b/>
                <w:bCs/>
                <w:sz w:val="22"/>
              </w:rPr>
              <w:t xml:space="preserve">Brecha de requerimientos del Distrito </w:t>
            </w:r>
          </w:p>
        </w:tc>
      </w:tr>
      <w:tr w:rsidR="00F74433" w14:paraId="59D63DE2" w14:textId="77777777">
        <w:trPr>
          <w:trHeight w:val="290"/>
        </w:trPr>
        <w:tc>
          <w:tcPr>
            <w:tcW w:w="1590" w:type="dxa"/>
            <w:vMerge w:val="restart"/>
            <w:shd w:val="solid" w:color="FFFFFF" w:fill="auto"/>
          </w:tcPr>
          <w:p w14:paraId="46547BE2" w14:textId="77777777" w:rsidR="00F74433" w:rsidRDefault="00A46230">
            <w:pPr>
              <w:autoSpaceDE w:val="0"/>
              <w:autoSpaceDN w:val="0"/>
              <w:adjustRightInd w:val="0"/>
              <w:rPr>
                <w:rFonts w:cs="Arial"/>
                <w:sz w:val="22"/>
              </w:rPr>
            </w:pPr>
            <w:r>
              <w:rPr>
                <w:rFonts w:cs="Arial"/>
                <w:sz w:val="22"/>
              </w:rPr>
              <w:t>Rescate</w:t>
            </w:r>
          </w:p>
        </w:tc>
        <w:tc>
          <w:tcPr>
            <w:tcW w:w="1559" w:type="dxa"/>
            <w:vMerge w:val="restart"/>
            <w:shd w:val="solid" w:color="FFFFFF" w:fill="auto"/>
          </w:tcPr>
          <w:p w14:paraId="32216D89" w14:textId="77777777" w:rsidR="00F74433" w:rsidRDefault="00A46230">
            <w:pPr>
              <w:autoSpaceDE w:val="0"/>
              <w:autoSpaceDN w:val="0"/>
              <w:adjustRightInd w:val="0"/>
              <w:rPr>
                <w:rFonts w:cs="Arial"/>
                <w:sz w:val="22"/>
              </w:rPr>
            </w:pPr>
            <w:r>
              <w:rPr>
                <w:rFonts w:cs="Arial"/>
                <w:sz w:val="22"/>
              </w:rPr>
              <w:t>Estructuras colapsadas</w:t>
            </w:r>
          </w:p>
        </w:tc>
        <w:tc>
          <w:tcPr>
            <w:tcW w:w="1417" w:type="dxa"/>
            <w:shd w:val="solid" w:color="FFFFFF" w:fill="auto"/>
          </w:tcPr>
          <w:p w14:paraId="4773F1D8" w14:textId="77777777" w:rsidR="00F74433" w:rsidRDefault="00A46230">
            <w:pPr>
              <w:autoSpaceDE w:val="0"/>
              <w:autoSpaceDN w:val="0"/>
              <w:adjustRightInd w:val="0"/>
              <w:rPr>
                <w:rFonts w:cs="Arial"/>
                <w:sz w:val="22"/>
              </w:rPr>
            </w:pPr>
            <w:r>
              <w:rPr>
                <w:rFonts w:cs="Arial"/>
                <w:sz w:val="22"/>
              </w:rPr>
              <w:t>Operacional</w:t>
            </w:r>
          </w:p>
        </w:tc>
        <w:tc>
          <w:tcPr>
            <w:tcW w:w="1426" w:type="dxa"/>
            <w:shd w:val="solid" w:color="FFFFFF" w:fill="auto"/>
          </w:tcPr>
          <w:p w14:paraId="4611B37A" w14:textId="77777777" w:rsidR="00F74433" w:rsidRDefault="00A46230">
            <w:pPr>
              <w:autoSpaceDE w:val="0"/>
              <w:autoSpaceDN w:val="0"/>
              <w:adjustRightInd w:val="0"/>
              <w:jc w:val="center"/>
              <w:rPr>
                <w:rFonts w:cs="Arial"/>
                <w:sz w:val="22"/>
              </w:rPr>
            </w:pPr>
            <w:r>
              <w:rPr>
                <w:rFonts w:cs="Arial"/>
                <w:sz w:val="22"/>
              </w:rPr>
              <w:t>2903</w:t>
            </w:r>
          </w:p>
        </w:tc>
        <w:tc>
          <w:tcPr>
            <w:tcW w:w="2126" w:type="dxa"/>
            <w:shd w:val="solid" w:color="FFFFFF" w:fill="auto"/>
          </w:tcPr>
          <w:p w14:paraId="301F1827" w14:textId="77777777" w:rsidR="00F74433" w:rsidRDefault="00A46230">
            <w:pPr>
              <w:autoSpaceDE w:val="0"/>
              <w:autoSpaceDN w:val="0"/>
              <w:adjustRightInd w:val="0"/>
              <w:jc w:val="center"/>
              <w:rPr>
                <w:rFonts w:cs="Arial"/>
                <w:sz w:val="22"/>
              </w:rPr>
            </w:pPr>
            <w:r>
              <w:rPr>
                <w:rFonts w:cs="Arial"/>
                <w:sz w:val="22"/>
              </w:rPr>
              <w:t>37</w:t>
            </w:r>
          </w:p>
        </w:tc>
        <w:tc>
          <w:tcPr>
            <w:tcW w:w="1346" w:type="dxa"/>
            <w:shd w:val="solid" w:color="FFFFFF" w:fill="auto"/>
          </w:tcPr>
          <w:p w14:paraId="33EE58ED" w14:textId="77777777" w:rsidR="00F74433" w:rsidRDefault="00A46230">
            <w:pPr>
              <w:autoSpaceDE w:val="0"/>
              <w:autoSpaceDN w:val="0"/>
              <w:adjustRightInd w:val="0"/>
              <w:jc w:val="center"/>
              <w:rPr>
                <w:rFonts w:cs="Arial"/>
                <w:color w:val="FF0000"/>
                <w:sz w:val="22"/>
              </w:rPr>
            </w:pPr>
            <w:r>
              <w:rPr>
                <w:rFonts w:cs="Arial"/>
                <w:color w:val="FF0000"/>
                <w:sz w:val="22"/>
              </w:rPr>
              <w:t>-2866</w:t>
            </w:r>
          </w:p>
        </w:tc>
      </w:tr>
      <w:tr w:rsidR="00F74433" w14:paraId="02EF4990" w14:textId="77777777">
        <w:trPr>
          <w:trHeight w:val="290"/>
        </w:trPr>
        <w:tc>
          <w:tcPr>
            <w:tcW w:w="1590" w:type="dxa"/>
            <w:vMerge/>
            <w:shd w:val="solid" w:color="FFFFFF" w:fill="auto"/>
          </w:tcPr>
          <w:p w14:paraId="0B10F360" w14:textId="77777777" w:rsidR="00F74433" w:rsidRDefault="00F74433">
            <w:pPr>
              <w:autoSpaceDE w:val="0"/>
              <w:autoSpaceDN w:val="0"/>
              <w:adjustRightInd w:val="0"/>
              <w:rPr>
                <w:rFonts w:cs="Arial"/>
                <w:sz w:val="22"/>
              </w:rPr>
            </w:pPr>
          </w:p>
        </w:tc>
        <w:tc>
          <w:tcPr>
            <w:tcW w:w="1559" w:type="dxa"/>
            <w:vMerge/>
            <w:shd w:val="solid" w:color="FFFFFF" w:fill="auto"/>
          </w:tcPr>
          <w:p w14:paraId="24556F69" w14:textId="77777777" w:rsidR="00F74433" w:rsidRDefault="00F74433">
            <w:pPr>
              <w:autoSpaceDE w:val="0"/>
              <w:autoSpaceDN w:val="0"/>
              <w:adjustRightInd w:val="0"/>
              <w:rPr>
                <w:rFonts w:cs="Arial"/>
                <w:sz w:val="22"/>
              </w:rPr>
            </w:pPr>
          </w:p>
        </w:tc>
        <w:tc>
          <w:tcPr>
            <w:tcW w:w="1417" w:type="dxa"/>
            <w:shd w:val="solid" w:color="FFFFFF" w:fill="auto"/>
          </w:tcPr>
          <w:p w14:paraId="7C9FD832" w14:textId="77777777" w:rsidR="00F74433" w:rsidRDefault="00A46230">
            <w:pPr>
              <w:autoSpaceDE w:val="0"/>
              <w:autoSpaceDN w:val="0"/>
              <w:adjustRightInd w:val="0"/>
              <w:rPr>
                <w:rFonts w:cs="Arial"/>
                <w:sz w:val="22"/>
              </w:rPr>
            </w:pPr>
            <w:r>
              <w:rPr>
                <w:rFonts w:cs="Arial"/>
                <w:sz w:val="22"/>
              </w:rPr>
              <w:t>Técnico</w:t>
            </w:r>
          </w:p>
        </w:tc>
        <w:tc>
          <w:tcPr>
            <w:tcW w:w="1426" w:type="dxa"/>
            <w:shd w:val="solid" w:color="FFFFFF" w:fill="auto"/>
          </w:tcPr>
          <w:p w14:paraId="1B35FA31" w14:textId="77777777" w:rsidR="00F74433" w:rsidRDefault="00A46230">
            <w:pPr>
              <w:autoSpaceDE w:val="0"/>
              <w:autoSpaceDN w:val="0"/>
              <w:adjustRightInd w:val="0"/>
              <w:jc w:val="center"/>
              <w:rPr>
                <w:rFonts w:cs="Arial"/>
                <w:sz w:val="22"/>
              </w:rPr>
            </w:pPr>
            <w:r>
              <w:rPr>
                <w:rFonts w:cs="Arial"/>
                <w:sz w:val="22"/>
              </w:rPr>
              <w:t>137</w:t>
            </w:r>
          </w:p>
        </w:tc>
        <w:tc>
          <w:tcPr>
            <w:tcW w:w="2126" w:type="dxa"/>
            <w:shd w:val="solid" w:color="FFFFFF" w:fill="auto"/>
          </w:tcPr>
          <w:p w14:paraId="00CBDF61" w14:textId="77777777" w:rsidR="00F74433" w:rsidRDefault="00A46230">
            <w:pPr>
              <w:autoSpaceDE w:val="0"/>
              <w:autoSpaceDN w:val="0"/>
              <w:adjustRightInd w:val="0"/>
              <w:jc w:val="center"/>
              <w:rPr>
                <w:rFonts w:cs="Arial"/>
                <w:sz w:val="22"/>
              </w:rPr>
            </w:pPr>
            <w:r>
              <w:rPr>
                <w:rFonts w:cs="Arial"/>
                <w:sz w:val="22"/>
              </w:rPr>
              <w:t>4</w:t>
            </w:r>
          </w:p>
        </w:tc>
        <w:tc>
          <w:tcPr>
            <w:tcW w:w="1346" w:type="dxa"/>
            <w:shd w:val="solid" w:color="FFFFFF" w:fill="auto"/>
          </w:tcPr>
          <w:p w14:paraId="28453AD8" w14:textId="77777777" w:rsidR="00F74433" w:rsidRDefault="00A46230">
            <w:pPr>
              <w:autoSpaceDE w:val="0"/>
              <w:autoSpaceDN w:val="0"/>
              <w:adjustRightInd w:val="0"/>
              <w:jc w:val="center"/>
              <w:rPr>
                <w:rFonts w:cs="Arial"/>
                <w:color w:val="FF0000"/>
                <w:sz w:val="22"/>
              </w:rPr>
            </w:pPr>
            <w:r>
              <w:rPr>
                <w:rFonts w:cs="Arial"/>
                <w:color w:val="FF0000"/>
                <w:sz w:val="22"/>
              </w:rPr>
              <w:t>-133</w:t>
            </w:r>
          </w:p>
        </w:tc>
      </w:tr>
      <w:tr w:rsidR="00F74433" w14:paraId="5428DBF3" w14:textId="77777777">
        <w:trPr>
          <w:trHeight w:val="290"/>
        </w:trPr>
        <w:tc>
          <w:tcPr>
            <w:tcW w:w="1590" w:type="dxa"/>
            <w:vMerge/>
            <w:shd w:val="solid" w:color="FFFFFF" w:fill="auto"/>
          </w:tcPr>
          <w:p w14:paraId="30E5D72B" w14:textId="77777777" w:rsidR="00F74433" w:rsidRDefault="00F74433">
            <w:pPr>
              <w:autoSpaceDE w:val="0"/>
              <w:autoSpaceDN w:val="0"/>
              <w:adjustRightInd w:val="0"/>
              <w:rPr>
                <w:rFonts w:cs="Arial"/>
                <w:sz w:val="22"/>
              </w:rPr>
            </w:pPr>
          </w:p>
        </w:tc>
        <w:tc>
          <w:tcPr>
            <w:tcW w:w="1559" w:type="dxa"/>
            <w:vMerge w:val="restart"/>
            <w:shd w:val="solid" w:color="FFFFFF" w:fill="auto"/>
          </w:tcPr>
          <w:p w14:paraId="7C7C5124" w14:textId="77777777" w:rsidR="00F74433" w:rsidRDefault="00A46230">
            <w:pPr>
              <w:autoSpaceDE w:val="0"/>
              <w:autoSpaceDN w:val="0"/>
              <w:adjustRightInd w:val="0"/>
              <w:rPr>
                <w:rFonts w:cs="Arial"/>
                <w:sz w:val="22"/>
              </w:rPr>
            </w:pPr>
            <w:r>
              <w:rPr>
                <w:rFonts w:cs="Arial"/>
                <w:sz w:val="22"/>
              </w:rPr>
              <w:t>Movimientos en masa</w:t>
            </w:r>
          </w:p>
        </w:tc>
        <w:tc>
          <w:tcPr>
            <w:tcW w:w="1417" w:type="dxa"/>
            <w:shd w:val="solid" w:color="FFFFFF" w:fill="auto"/>
          </w:tcPr>
          <w:p w14:paraId="4841DA56" w14:textId="77777777" w:rsidR="00F74433" w:rsidRDefault="00A46230">
            <w:pPr>
              <w:autoSpaceDE w:val="0"/>
              <w:autoSpaceDN w:val="0"/>
              <w:adjustRightInd w:val="0"/>
              <w:rPr>
                <w:rFonts w:cs="Arial"/>
                <w:sz w:val="22"/>
              </w:rPr>
            </w:pPr>
            <w:r>
              <w:rPr>
                <w:rFonts w:cs="Arial"/>
                <w:sz w:val="22"/>
              </w:rPr>
              <w:t>Operacional</w:t>
            </w:r>
          </w:p>
        </w:tc>
        <w:tc>
          <w:tcPr>
            <w:tcW w:w="1426" w:type="dxa"/>
            <w:shd w:val="solid" w:color="FFFFFF" w:fill="auto"/>
          </w:tcPr>
          <w:p w14:paraId="2161E80A" w14:textId="77777777" w:rsidR="00F74433" w:rsidRDefault="00A46230">
            <w:pPr>
              <w:autoSpaceDE w:val="0"/>
              <w:autoSpaceDN w:val="0"/>
              <w:adjustRightInd w:val="0"/>
              <w:jc w:val="center"/>
              <w:rPr>
                <w:rFonts w:cs="Arial"/>
                <w:sz w:val="22"/>
              </w:rPr>
            </w:pPr>
            <w:r>
              <w:rPr>
                <w:rFonts w:cs="Arial"/>
                <w:sz w:val="22"/>
              </w:rPr>
              <w:t>808</w:t>
            </w:r>
          </w:p>
        </w:tc>
        <w:tc>
          <w:tcPr>
            <w:tcW w:w="2126" w:type="dxa"/>
            <w:shd w:val="solid" w:color="FFFFFF" w:fill="auto"/>
          </w:tcPr>
          <w:p w14:paraId="440F9675" w14:textId="77777777" w:rsidR="00F74433" w:rsidRDefault="00A46230">
            <w:pPr>
              <w:autoSpaceDE w:val="0"/>
              <w:autoSpaceDN w:val="0"/>
              <w:adjustRightInd w:val="0"/>
              <w:jc w:val="center"/>
              <w:rPr>
                <w:rFonts w:cs="Arial"/>
                <w:sz w:val="22"/>
              </w:rPr>
            </w:pPr>
            <w:r>
              <w:rPr>
                <w:rFonts w:cs="Arial"/>
                <w:sz w:val="22"/>
              </w:rPr>
              <w:t>37</w:t>
            </w:r>
          </w:p>
        </w:tc>
        <w:tc>
          <w:tcPr>
            <w:tcW w:w="1346" w:type="dxa"/>
            <w:shd w:val="solid" w:color="FFFFFF" w:fill="auto"/>
          </w:tcPr>
          <w:p w14:paraId="250BE3A4" w14:textId="77777777" w:rsidR="00F74433" w:rsidRDefault="00A46230">
            <w:pPr>
              <w:autoSpaceDE w:val="0"/>
              <w:autoSpaceDN w:val="0"/>
              <w:adjustRightInd w:val="0"/>
              <w:jc w:val="center"/>
              <w:rPr>
                <w:rFonts w:cs="Arial"/>
                <w:color w:val="FF0000"/>
                <w:sz w:val="22"/>
              </w:rPr>
            </w:pPr>
            <w:r>
              <w:rPr>
                <w:rFonts w:cs="Arial"/>
                <w:color w:val="FF0000"/>
                <w:sz w:val="22"/>
              </w:rPr>
              <w:t>-771</w:t>
            </w:r>
          </w:p>
        </w:tc>
      </w:tr>
      <w:tr w:rsidR="00F74433" w14:paraId="19A8EB14" w14:textId="77777777">
        <w:trPr>
          <w:trHeight w:val="290"/>
        </w:trPr>
        <w:tc>
          <w:tcPr>
            <w:tcW w:w="1590" w:type="dxa"/>
            <w:vMerge/>
            <w:shd w:val="solid" w:color="FFFFFF" w:fill="auto"/>
          </w:tcPr>
          <w:p w14:paraId="3E8ADD28" w14:textId="77777777" w:rsidR="00F74433" w:rsidRDefault="00F74433">
            <w:pPr>
              <w:autoSpaceDE w:val="0"/>
              <w:autoSpaceDN w:val="0"/>
              <w:adjustRightInd w:val="0"/>
              <w:rPr>
                <w:rFonts w:cs="Arial"/>
                <w:sz w:val="22"/>
              </w:rPr>
            </w:pPr>
          </w:p>
        </w:tc>
        <w:tc>
          <w:tcPr>
            <w:tcW w:w="1559" w:type="dxa"/>
            <w:vMerge/>
            <w:shd w:val="solid" w:color="FFFFFF" w:fill="auto"/>
          </w:tcPr>
          <w:p w14:paraId="7053263D" w14:textId="77777777" w:rsidR="00F74433" w:rsidRDefault="00F74433">
            <w:pPr>
              <w:autoSpaceDE w:val="0"/>
              <w:autoSpaceDN w:val="0"/>
              <w:adjustRightInd w:val="0"/>
              <w:rPr>
                <w:rFonts w:cs="Arial"/>
                <w:sz w:val="22"/>
              </w:rPr>
            </w:pPr>
          </w:p>
        </w:tc>
        <w:tc>
          <w:tcPr>
            <w:tcW w:w="1417" w:type="dxa"/>
            <w:shd w:val="solid" w:color="FFFFFF" w:fill="auto"/>
          </w:tcPr>
          <w:p w14:paraId="40EEE2C7" w14:textId="77777777" w:rsidR="00F74433" w:rsidRDefault="00A46230">
            <w:pPr>
              <w:autoSpaceDE w:val="0"/>
              <w:autoSpaceDN w:val="0"/>
              <w:adjustRightInd w:val="0"/>
              <w:rPr>
                <w:rFonts w:cs="Arial"/>
                <w:sz w:val="22"/>
              </w:rPr>
            </w:pPr>
            <w:r>
              <w:rPr>
                <w:rFonts w:cs="Arial"/>
                <w:sz w:val="22"/>
              </w:rPr>
              <w:t>Técnico</w:t>
            </w:r>
          </w:p>
        </w:tc>
        <w:tc>
          <w:tcPr>
            <w:tcW w:w="1426" w:type="dxa"/>
            <w:shd w:val="solid" w:color="FFFFFF" w:fill="auto"/>
          </w:tcPr>
          <w:p w14:paraId="277EC66F" w14:textId="77777777" w:rsidR="00F74433" w:rsidRDefault="00A46230">
            <w:pPr>
              <w:autoSpaceDE w:val="0"/>
              <w:autoSpaceDN w:val="0"/>
              <w:adjustRightInd w:val="0"/>
              <w:jc w:val="center"/>
              <w:rPr>
                <w:rFonts w:cs="Arial"/>
                <w:sz w:val="22"/>
              </w:rPr>
            </w:pPr>
            <w:r>
              <w:rPr>
                <w:rFonts w:cs="Arial"/>
                <w:sz w:val="22"/>
              </w:rPr>
              <w:t>37</w:t>
            </w:r>
          </w:p>
        </w:tc>
        <w:tc>
          <w:tcPr>
            <w:tcW w:w="2126" w:type="dxa"/>
            <w:shd w:val="solid" w:color="FFFFFF" w:fill="auto"/>
          </w:tcPr>
          <w:p w14:paraId="458F5782" w14:textId="77777777" w:rsidR="00F74433" w:rsidRDefault="00A46230">
            <w:pPr>
              <w:autoSpaceDE w:val="0"/>
              <w:autoSpaceDN w:val="0"/>
              <w:adjustRightInd w:val="0"/>
              <w:jc w:val="center"/>
              <w:rPr>
                <w:rFonts w:cs="Arial"/>
                <w:sz w:val="22"/>
              </w:rPr>
            </w:pPr>
            <w:r>
              <w:rPr>
                <w:rFonts w:cs="Arial"/>
                <w:sz w:val="22"/>
              </w:rPr>
              <w:t>4</w:t>
            </w:r>
          </w:p>
        </w:tc>
        <w:tc>
          <w:tcPr>
            <w:tcW w:w="1346" w:type="dxa"/>
            <w:shd w:val="solid" w:color="FFFFFF" w:fill="auto"/>
          </w:tcPr>
          <w:p w14:paraId="271CDF22" w14:textId="77777777" w:rsidR="00F74433" w:rsidRDefault="00A46230">
            <w:pPr>
              <w:autoSpaceDE w:val="0"/>
              <w:autoSpaceDN w:val="0"/>
              <w:adjustRightInd w:val="0"/>
              <w:jc w:val="center"/>
              <w:rPr>
                <w:rFonts w:cs="Arial"/>
                <w:color w:val="FF0000"/>
                <w:sz w:val="22"/>
              </w:rPr>
            </w:pPr>
            <w:r>
              <w:rPr>
                <w:rFonts w:cs="Arial"/>
                <w:color w:val="FF0000"/>
                <w:sz w:val="22"/>
              </w:rPr>
              <w:t>-33</w:t>
            </w:r>
          </w:p>
        </w:tc>
      </w:tr>
      <w:tr w:rsidR="00F74433" w14:paraId="1E2729F3" w14:textId="77777777">
        <w:trPr>
          <w:trHeight w:val="362"/>
        </w:trPr>
        <w:tc>
          <w:tcPr>
            <w:tcW w:w="1590" w:type="dxa"/>
            <w:vMerge w:val="restart"/>
            <w:shd w:val="solid" w:color="FFFFFF" w:fill="auto"/>
          </w:tcPr>
          <w:p w14:paraId="004F1BF0" w14:textId="77777777" w:rsidR="00F74433" w:rsidRDefault="00A46230">
            <w:pPr>
              <w:autoSpaceDE w:val="0"/>
              <w:autoSpaceDN w:val="0"/>
              <w:adjustRightInd w:val="0"/>
              <w:rPr>
                <w:rFonts w:cs="Arial"/>
                <w:sz w:val="22"/>
              </w:rPr>
            </w:pPr>
            <w:r>
              <w:rPr>
                <w:rFonts w:cs="Arial"/>
                <w:sz w:val="22"/>
              </w:rPr>
              <w:t>Incidentes con materiales peligrosos</w:t>
            </w:r>
          </w:p>
        </w:tc>
        <w:tc>
          <w:tcPr>
            <w:tcW w:w="2976" w:type="dxa"/>
            <w:gridSpan w:val="2"/>
            <w:shd w:val="solid" w:color="FFFFFF" w:fill="auto"/>
          </w:tcPr>
          <w:p w14:paraId="75EF661B" w14:textId="77777777" w:rsidR="00F74433" w:rsidRDefault="00A46230">
            <w:pPr>
              <w:autoSpaceDE w:val="0"/>
              <w:autoSpaceDN w:val="0"/>
              <w:adjustRightInd w:val="0"/>
              <w:rPr>
                <w:rFonts w:cs="Arial"/>
                <w:sz w:val="22"/>
              </w:rPr>
            </w:pPr>
            <w:r>
              <w:rPr>
                <w:rFonts w:cs="Arial"/>
                <w:sz w:val="22"/>
              </w:rPr>
              <w:t>Operacional</w:t>
            </w:r>
          </w:p>
        </w:tc>
        <w:tc>
          <w:tcPr>
            <w:tcW w:w="1426" w:type="dxa"/>
            <w:shd w:val="solid" w:color="FFFFFF" w:fill="auto"/>
          </w:tcPr>
          <w:p w14:paraId="7C2D022F" w14:textId="77777777" w:rsidR="00F74433" w:rsidRDefault="00A46230">
            <w:pPr>
              <w:autoSpaceDE w:val="0"/>
              <w:autoSpaceDN w:val="0"/>
              <w:adjustRightInd w:val="0"/>
              <w:jc w:val="center"/>
              <w:rPr>
                <w:rFonts w:cs="Arial"/>
                <w:sz w:val="22"/>
              </w:rPr>
            </w:pPr>
            <w:r>
              <w:rPr>
                <w:rFonts w:cs="Arial"/>
                <w:sz w:val="22"/>
              </w:rPr>
              <w:t>37</w:t>
            </w:r>
          </w:p>
        </w:tc>
        <w:tc>
          <w:tcPr>
            <w:tcW w:w="2126" w:type="dxa"/>
            <w:shd w:val="solid" w:color="FFFFFF" w:fill="auto"/>
          </w:tcPr>
          <w:p w14:paraId="65B9AE59" w14:textId="77777777" w:rsidR="00F74433" w:rsidRDefault="00A46230">
            <w:pPr>
              <w:autoSpaceDE w:val="0"/>
              <w:autoSpaceDN w:val="0"/>
              <w:adjustRightInd w:val="0"/>
              <w:jc w:val="center"/>
              <w:rPr>
                <w:rFonts w:cs="Arial"/>
                <w:sz w:val="22"/>
              </w:rPr>
            </w:pPr>
            <w:r>
              <w:rPr>
                <w:rFonts w:cs="Arial"/>
                <w:sz w:val="22"/>
              </w:rPr>
              <w:t>37</w:t>
            </w:r>
          </w:p>
        </w:tc>
        <w:tc>
          <w:tcPr>
            <w:tcW w:w="1346" w:type="dxa"/>
            <w:shd w:val="solid" w:color="FFFFFF" w:fill="auto"/>
          </w:tcPr>
          <w:p w14:paraId="1F626E1E" w14:textId="77777777" w:rsidR="00F74433" w:rsidRDefault="00A46230">
            <w:pPr>
              <w:autoSpaceDE w:val="0"/>
              <w:autoSpaceDN w:val="0"/>
              <w:adjustRightInd w:val="0"/>
              <w:jc w:val="center"/>
              <w:rPr>
                <w:rFonts w:cs="Arial"/>
                <w:color w:val="FF0000"/>
                <w:sz w:val="22"/>
              </w:rPr>
            </w:pPr>
            <w:r>
              <w:rPr>
                <w:rFonts w:cs="Arial"/>
                <w:color w:val="FF0000"/>
                <w:sz w:val="22"/>
              </w:rPr>
              <w:t>0</w:t>
            </w:r>
          </w:p>
        </w:tc>
      </w:tr>
      <w:tr w:rsidR="00F74433" w14:paraId="6F4E26C1" w14:textId="77777777">
        <w:trPr>
          <w:trHeight w:val="290"/>
        </w:trPr>
        <w:tc>
          <w:tcPr>
            <w:tcW w:w="1590" w:type="dxa"/>
            <w:vMerge/>
            <w:shd w:val="solid" w:color="FFFFFF" w:fill="auto"/>
          </w:tcPr>
          <w:p w14:paraId="5F8119D4" w14:textId="77777777" w:rsidR="00F74433" w:rsidRDefault="00F74433">
            <w:pPr>
              <w:autoSpaceDE w:val="0"/>
              <w:autoSpaceDN w:val="0"/>
              <w:adjustRightInd w:val="0"/>
              <w:rPr>
                <w:rFonts w:cs="Arial"/>
                <w:sz w:val="22"/>
              </w:rPr>
            </w:pPr>
          </w:p>
        </w:tc>
        <w:tc>
          <w:tcPr>
            <w:tcW w:w="2976" w:type="dxa"/>
            <w:gridSpan w:val="2"/>
            <w:shd w:val="solid" w:color="FFFFFF" w:fill="auto"/>
          </w:tcPr>
          <w:p w14:paraId="76C8CFF3" w14:textId="77777777" w:rsidR="00F74433" w:rsidRDefault="00A46230">
            <w:pPr>
              <w:autoSpaceDE w:val="0"/>
              <w:autoSpaceDN w:val="0"/>
              <w:adjustRightInd w:val="0"/>
              <w:rPr>
                <w:rFonts w:cs="Arial"/>
                <w:sz w:val="22"/>
              </w:rPr>
            </w:pPr>
            <w:r>
              <w:rPr>
                <w:rFonts w:cs="Arial"/>
                <w:sz w:val="22"/>
              </w:rPr>
              <w:t>Técnico</w:t>
            </w:r>
          </w:p>
        </w:tc>
        <w:tc>
          <w:tcPr>
            <w:tcW w:w="1426" w:type="dxa"/>
            <w:shd w:val="solid" w:color="FFFFFF" w:fill="auto"/>
          </w:tcPr>
          <w:p w14:paraId="10DE99BD" w14:textId="77777777" w:rsidR="00F74433" w:rsidRDefault="00A46230">
            <w:pPr>
              <w:autoSpaceDE w:val="0"/>
              <w:autoSpaceDN w:val="0"/>
              <w:adjustRightInd w:val="0"/>
              <w:jc w:val="center"/>
              <w:rPr>
                <w:rFonts w:cs="Arial"/>
                <w:sz w:val="22"/>
              </w:rPr>
            </w:pPr>
            <w:r>
              <w:rPr>
                <w:rFonts w:cs="Arial"/>
                <w:sz w:val="22"/>
              </w:rPr>
              <w:t>3</w:t>
            </w:r>
          </w:p>
        </w:tc>
        <w:tc>
          <w:tcPr>
            <w:tcW w:w="2126" w:type="dxa"/>
            <w:shd w:val="solid" w:color="FFFFFF" w:fill="auto"/>
          </w:tcPr>
          <w:p w14:paraId="46BC8FE6" w14:textId="77777777" w:rsidR="00F74433" w:rsidRDefault="00A46230">
            <w:pPr>
              <w:autoSpaceDE w:val="0"/>
              <w:autoSpaceDN w:val="0"/>
              <w:adjustRightInd w:val="0"/>
              <w:jc w:val="center"/>
              <w:rPr>
                <w:rFonts w:cs="Arial"/>
                <w:sz w:val="22"/>
              </w:rPr>
            </w:pPr>
            <w:r>
              <w:rPr>
                <w:rFonts w:cs="Arial"/>
                <w:sz w:val="22"/>
              </w:rPr>
              <w:t>3</w:t>
            </w:r>
          </w:p>
        </w:tc>
        <w:tc>
          <w:tcPr>
            <w:tcW w:w="1346" w:type="dxa"/>
            <w:shd w:val="solid" w:color="FFFFFF" w:fill="auto"/>
          </w:tcPr>
          <w:p w14:paraId="4AE932C9" w14:textId="77777777" w:rsidR="00F74433" w:rsidRDefault="00A46230">
            <w:pPr>
              <w:autoSpaceDE w:val="0"/>
              <w:autoSpaceDN w:val="0"/>
              <w:adjustRightInd w:val="0"/>
              <w:jc w:val="center"/>
              <w:rPr>
                <w:rFonts w:cs="Arial"/>
                <w:color w:val="FF0000"/>
                <w:sz w:val="22"/>
              </w:rPr>
            </w:pPr>
            <w:r>
              <w:rPr>
                <w:rFonts w:cs="Arial"/>
                <w:color w:val="FF0000"/>
                <w:sz w:val="22"/>
              </w:rPr>
              <w:t>0</w:t>
            </w:r>
          </w:p>
        </w:tc>
      </w:tr>
      <w:tr w:rsidR="00F74433" w14:paraId="008BE681" w14:textId="77777777">
        <w:trPr>
          <w:trHeight w:val="290"/>
        </w:trPr>
        <w:tc>
          <w:tcPr>
            <w:tcW w:w="1590" w:type="dxa"/>
            <w:vMerge w:val="restart"/>
            <w:shd w:val="solid" w:color="FFFFFF" w:fill="auto"/>
          </w:tcPr>
          <w:p w14:paraId="24319CDF" w14:textId="77777777" w:rsidR="00F74433" w:rsidRDefault="00A46230">
            <w:pPr>
              <w:autoSpaceDE w:val="0"/>
              <w:autoSpaceDN w:val="0"/>
              <w:adjustRightInd w:val="0"/>
              <w:rPr>
                <w:rFonts w:cs="Arial"/>
                <w:sz w:val="22"/>
              </w:rPr>
            </w:pPr>
            <w:r>
              <w:rPr>
                <w:rFonts w:cs="Arial"/>
                <w:sz w:val="22"/>
              </w:rPr>
              <w:t xml:space="preserve">Extinción de incendios </w:t>
            </w:r>
          </w:p>
        </w:tc>
        <w:tc>
          <w:tcPr>
            <w:tcW w:w="2976" w:type="dxa"/>
            <w:gridSpan w:val="2"/>
            <w:shd w:val="solid" w:color="FFFFFF" w:fill="auto"/>
          </w:tcPr>
          <w:p w14:paraId="1E5BDA13" w14:textId="77777777" w:rsidR="00F74433" w:rsidRDefault="00A46230">
            <w:pPr>
              <w:autoSpaceDE w:val="0"/>
              <w:autoSpaceDN w:val="0"/>
              <w:adjustRightInd w:val="0"/>
              <w:rPr>
                <w:rFonts w:cs="Arial"/>
                <w:sz w:val="22"/>
              </w:rPr>
            </w:pPr>
            <w:r>
              <w:rPr>
                <w:rFonts w:cs="Arial"/>
                <w:sz w:val="22"/>
              </w:rPr>
              <w:t>Alarma 1</w:t>
            </w:r>
          </w:p>
        </w:tc>
        <w:tc>
          <w:tcPr>
            <w:tcW w:w="1426" w:type="dxa"/>
            <w:shd w:val="solid" w:color="FFFFFF" w:fill="auto"/>
          </w:tcPr>
          <w:p w14:paraId="44C9D42F" w14:textId="77777777" w:rsidR="00F74433" w:rsidRDefault="00A46230">
            <w:pPr>
              <w:autoSpaceDE w:val="0"/>
              <w:autoSpaceDN w:val="0"/>
              <w:adjustRightInd w:val="0"/>
              <w:jc w:val="center"/>
              <w:rPr>
                <w:rFonts w:cs="Arial"/>
                <w:sz w:val="22"/>
              </w:rPr>
            </w:pPr>
            <w:r>
              <w:rPr>
                <w:rFonts w:cs="Arial"/>
                <w:sz w:val="22"/>
              </w:rPr>
              <w:t>23</w:t>
            </w:r>
          </w:p>
        </w:tc>
        <w:tc>
          <w:tcPr>
            <w:tcW w:w="2126" w:type="dxa"/>
            <w:shd w:val="solid" w:color="FFFFFF" w:fill="auto"/>
          </w:tcPr>
          <w:p w14:paraId="0DDDDB48" w14:textId="77777777" w:rsidR="00F74433" w:rsidRDefault="00A46230">
            <w:pPr>
              <w:autoSpaceDE w:val="0"/>
              <w:autoSpaceDN w:val="0"/>
              <w:adjustRightInd w:val="0"/>
              <w:jc w:val="center"/>
              <w:rPr>
                <w:rFonts w:cs="Arial"/>
                <w:sz w:val="22"/>
              </w:rPr>
            </w:pPr>
            <w:r>
              <w:rPr>
                <w:rFonts w:cs="Arial"/>
                <w:sz w:val="22"/>
              </w:rPr>
              <w:t>13</w:t>
            </w:r>
          </w:p>
        </w:tc>
        <w:tc>
          <w:tcPr>
            <w:tcW w:w="1346" w:type="dxa"/>
            <w:shd w:val="solid" w:color="FFFFFF" w:fill="auto"/>
          </w:tcPr>
          <w:p w14:paraId="13320238" w14:textId="77777777" w:rsidR="00F74433" w:rsidRDefault="00A46230">
            <w:pPr>
              <w:autoSpaceDE w:val="0"/>
              <w:autoSpaceDN w:val="0"/>
              <w:adjustRightInd w:val="0"/>
              <w:jc w:val="center"/>
              <w:rPr>
                <w:rFonts w:cs="Arial"/>
                <w:color w:val="FF0000"/>
                <w:sz w:val="22"/>
              </w:rPr>
            </w:pPr>
            <w:r>
              <w:rPr>
                <w:rFonts w:cs="Arial"/>
                <w:color w:val="FF0000"/>
                <w:sz w:val="22"/>
              </w:rPr>
              <w:t>-10</w:t>
            </w:r>
          </w:p>
        </w:tc>
      </w:tr>
      <w:tr w:rsidR="00F74433" w14:paraId="1AB4B751" w14:textId="77777777">
        <w:trPr>
          <w:trHeight w:val="290"/>
        </w:trPr>
        <w:tc>
          <w:tcPr>
            <w:tcW w:w="1590" w:type="dxa"/>
            <w:vMerge/>
            <w:shd w:val="solid" w:color="FFFFFF" w:fill="auto"/>
          </w:tcPr>
          <w:p w14:paraId="12169345" w14:textId="77777777" w:rsidR="00F74433" w:rsidRDefault="00F74433">
            <w:pPr>
              <w:autoSpaceDE w:val="0"/>
              <w:autoSpaceDN w:val="0"/>
              <w:adjustRightInd w:val="0"/>
              <w:rPr>
                <w:rFonts w:cs="Arial"/>
                <w:sz w:val="22"/>
              </w:rPr>
            </w:pPr>
          </w:p>
        </w:tc>
        <w:tc>
          <w:tcPr>
            <w:tcW w:w="2976" w:type="dxa"/>
            <w:gridSpan w:val="2"/>
            <w:shd w:val="solid" w:color="FFFFFF" w:fill="auto"/>
          </w:tcPr>
          <w:p w14:paraId="071C7E96" w14:textId="77777777" w:rsidR="00F74433" w:rsidRDefault="00A46230">
            <w:pPr>
              <w:autoSpaceDE w:val="0"/>
              <w:autoSpaceDN w:val="0"/>
              <w:adjustRightInd w:val="0"/>
              <w:rPr>
                <w:rFonts w:cs="Arial"/>
                <w:sz w:val="22"/>
              </w:rPr>
            </w:pPr>
            <w:r>
              <w:rPr>
                <w:rFonts w:cs="Arial"/>
                <w:sz w:val="22"/>
              </w:rPr>
              <w:t>Alarma 2</w:t>
            </w:r>
          </w:p>
        </w:tc>
        <w:tc>
          <w:tcPr>
            <w:tcW w:w="1426" w:type="dxa"/>
            <w:shd w:val="solid" w:color="FFFFFF" w:fill="auto"/>
          </w:tcPr>
          <w:p w14:paraId="6B30E82A" w14:textId="77777777" w:rsidR="00F74433" w:rsidRDefault="00A46230">
            <w:pPr>
              <w:autoSpaceDE w:val="0"/>
              <w:autoSpaceDN w:val="0"/>
              <w:adjustRightInd w:val="0"/>
              <w:jc w:val="center"/>
              <w:rPr>
                <w:rFonts w:cs="Arial"/>
                <w:sz w:val="22"/>
              </w:rPr>
            </w:pPr>
            <w:r>
              <w:rPr>
                <w:rFonts w:cs="Arial"/>
                <w:sz w:val="22"/>
              </w:rPr>
              <w:t>6</w:t>
            </w:r>
          </w:p>
        </w:tc>
        <w:tc>
          <w:tcPr>
            <w:tcW w:w="2126" w:type="dxa"/>
            <w:shd w:val="solid" w:color="FFFFFF" w:fill="auto"/>
          </w:tcPr>
          <w:p w14:paraId="4E478722" w14:textId="77777777" w:rsidR="00F74433" w:rsidRDefault="00A46230">
            <w:pPr>
              <w:autoSpaceDE w:val="0"/>
              <w:autoSpaceDN w:val="0"/>
              <w:adjustRightInd w:val="0"/>
              <w:jc w:val="center"/>
              <w:rPr>
                <w:rFonts w:cs="Arial"/>
                <w:sz w:val="22"/>
              </w:rPr>
            </w:pPr>
            <w:r>
              <w:rPr>
                <w:rFonts w:cs="Arial"/>
                <w:sz w:val="22"/>
              </w:rPr>
              <w:t>2</w:t>
            </w:r>
          </w:p>
        </w:tc>
        <w:tc>
          <w:tcPr>
            <w:tcW w:w="1346" w:type="dxa"/>
            <w:shd w:val="solid" w:color="FFFFFF" w:fill="auto"/>
          </w:tcPr>
          <w:p w14:paraId="29180CED" w14:textId="77777777" w:rsidR="00F74433" w:rsidRDefault="00A46230">
            <w:pPr>
              <w:autoSpaceDE w:val="0"/>
              <w:autoSpaceDN w:val="0"/>
              <w:adjustRightInd w:val="0"/>
              <w:jc w:val="center"/>
              <w:rPr>
                <w:rFonts w:cs="Arial"/>
                <w:color w:val="FF0000"/>
                <w:sz w:val="22"/>
              </w:rPr>
            </w:pPr>
            <w:r>
              <w:rPr>
                <w:rFonts w:cs="Arial"/>
                <w:color w:val="FF0000"/>
                <w:sz w:val="22"/>
              </w:rPr>
              <w:t>-4</w:t>
            </w:r>
          </w:p>
        </w:tc>
      </w:tr>
      <w:tr w:rsidR="00F74433" w14:paraId="2465EB5B" w14:textId="77777777">
        <w:trPr>
          <w:trHeight w:val="290"/>
        </w:trPr>
        <w:tc>
          <w:tcPr>
            <w:tcW w:w="1590" w:type="dxa"/>
            <w:vMerge/>
            <w:shd w:val="solid" w:color="FFFFFF" w:fill="auto"/>
          </w:tcPr>
          <w:p w14:paraId="21E96263" w14:textId="77777777" w:rsidR="00F74433" w:rsidRDefault="00F74433">
            <w:pPr>
              <w:autoSpaceDE w:val="0"/>
              <w:autoSpaceDN w:val="0"/>
              <w:adjustRightInd w:val="0"/>
              <w:rPr>
                <w:rFonts w:cs="Arial"/>
                <w:sz w:val="22"/>
              </w:rPr>
            </w:pPr>
          </w:p>
        </w:tc>
        <w:tc>
          <w:tcPr>
            <w:tcW w:w="2976" w:type="dxa"/>
            <w:gridSpan w:val="2"/>
            <w:shd w:val="solid" w:color="FFFFFF" w:fill="auto"/>
          </w:tcPr>
          <w:p w14:paraId="11704024" w14:textId="77777777" w:rsidR="00F74433" w:rsidRDefault="00A46230">
            <w:pPr>
              <w:autoSpaceDE w:val="0"/>
              <w:autoSpaceDN w:val="0"/>
              <w:adjustRightInd w:val="0"/>
              <w:rPr>
                <w:rFonts w:cs="Arial"/>
                <w:sz w:val="22"/>
              </w:rPr>
            </w:pPr>
            <w:r>
              <w:rPr>
                <w:rFonts w:cs="Arial"/>
                <w:sz w:val="22"/>
              </w:rPr>
              <w:t>Alarma 3</w:t>
            </w:r>
          </w:p>
        </w:tc>
        <w:tc>
          <w:tcPr>
            <w:tcW w:w="1426" w:type="dxa"/>
            <w:shd w:val="solid" w:color="FFFFFF" w:fill="auto"/>
          </w:tcPr>
          <w:p w14:paraId="1A596632" w14:textId="77777777" w:rsidR="00F74433" w:rsidRDefault="00A46230">
            <w:pPr>
              <w:autoSpaceDE w:val="0"/>
              <w:autoSpaceDN w:val="0"/>
              <w:adjustRightInd w:val="0"/>
              <w:jc w:val="center"/>
              <w:rPr>
                <w:rFonts w:cs="Arial"/>
                <w:sz w:val="22"/>
              </w:rPr>
            </w:pPr>
            <w:r>
              <w:rPr>
                <w:rFonts w:cs="Arial"/>
                <w:sz w:val="22"/>
              </w:rPr>
              <w:t>2</w:t>
            </w:r>
          </w:p>
        </w:tc>
        <w:tc>
          <w:tcPr>
            <w:tcW w:w="2126" w:type="dxa"/>
            <w:shd w:val="solid" w:color="FFFFFF" w:fill="auto"/>
          </w:tcPr>
          <w:p w14:paraId="72B239B8" w14:textId="77777777" w:rsidR="00F74433" w:rsidRDefault="00A46230">
            <w:pPr>
              <w:autoSpaceDE w:val="0"/>
              <w:autoSpaceDN w:val="0"/>
              <w:adjustRightInd w:val="0"/>
              <w:jc w:val="center"/>
              <w:rPr>
                <w:rFonts w:cs="Arial"/>
                <w:sz w:val="22"/>
              </w:rPr>
            </w:pPr>
            <w:r>
              <w:rPr>
                <w:rFonts w:cs="Arial"/>
                <w:sz w:val="22"/>
              </w:rPr>
              <w:t>2</w:t>
            </w:r>
          </w:p>
        </w:tc>
        <w:tc>
          <w:tcPr>
            <w:tcW w:w="1346" w:type="dxa"/>
            <w:shd w:val="solid" w:color="FFFFFF" w:fill="auto"/>
          </w:tcPr>
          <w:p w14:paraId="3A5D3278" w14:textId="77777777" w:rsidR="00F74433" w:rsidRDefault="00A46230">
            <w:pPr>
              <w:autoSpaceDE w:val="0"/>
              <w:autoSpaceDN w:val="0"/>
              <w:adjustRightInd w:val="0"/>
              <w:jc w:val="center"/>
              <w:rPr>
                <w:rFonts w:cs="Arial"/>
                <w:color w:val="FF0000"/>
                <w:sz w:val="22"/>
              </w:rPr>
            </w:pPr>
            <w:r>
              <w:rPr>
                <w:rFonts w:cs="Arial"/>
                <w:color w:val="FF0000"/>
                <w:sz w:val="22"/>
              </w:rPr>
              <w:t>0</w:t>
            </w:r>
          </w:p>
        </w:tc>
      </w:tr>
      <w:tr w:rsidR="00F74433" w14:paraId="670951BB" w14:textId="77777777">
        <w:trPr>
          <w:trHeight w:val="290"/>
        </w:trPr>
        <w:tc>
          <w:tcPr>
            <w:tcW w:w="4566" w:type="dxa"/>
            <w:gridSpan w:val="3"/>
            <w:shd w:val="solid" w:color="FFFFFF" w:fill="auto"/>
          </w:tcPr>
          <w:p w14:paraId="7502B9A7" w14:textId="77777777" w:rsidR="00F74433" w:rsidRDefault="00A46230">
            <w:pPr>
              <w:autoSpaceDE w:val="0"/>
              <w:autoSpaceDN w:val="0"/>
              <w:adjustRightInd w:val="0"/>
              <w:rPr>
                <w:rFonts w:cs="Arial"/>
                <w:sz w:val="22"/>
              </w:rPr>
            </w:pPr>
            <w:r>
              <w:rPr>
                <w:rFonts w:cs="Arial"/>
                <w:sz w:val="22"/>
              </w:rPr>
              <w:t>Total</w:t>
            </w:r>
          </w:p>
        </w:tc>
        <w:tc>
          <w:tcPr>
            <w:tcW w:w="1426" w:type="dxa"/>
            <w:shd w:val="solid" w:color="FFFFFF" w:fill="auto"/>
          </w:tcPr>
          <w:p w14:paraId="04993355" w14:textId="77777777" w:rsidR="00F74433" w:rsidRDefault="00F74433">
            <w:pPr>
              <w:autoSpaceDE w:val="0"/>
              <w:autoSpaceDN w:val="0"/>
              <w:adjustRightInd w:val="0"/>
              <w:jc w:val="center"/>
              <w:rPr>
                <w:rFonts w:cs="Arial"/>
                <w:sz w:val="22"/>
              </w:rPr>
            </w:pPr>
          </w:p>
        </w:tc>
        <w:tc>
          <w:tcPr>
            <w:tcW w:w="2126" w:type="dxa"/>
            <w:shd w:val="solid" w:color="FFFFFF" w:fill="auto"/>
          </w:tcPr>
          <w:p w14:paraId="0452FA81" w14:textId="77777777" w:rsidR="00F74433" w:rsidRDefault="00A46230">
            <w:pPr>
              <w:autoSpaceDE w:val="0"/>
              <w:autoSpaceDN w:val="0"/>
              <w:adjustRightInd w:val="0"/>
              <w:jc w:val="center"/>
              <w:rPr>
                <w:rFonts w:cs="Arial"/>
                <w:sz w:val="22"/>
              </w:rPr>
            </w:pPr>
            <w:r>
              <w:rPr>
                <w:rFonts w:cs="Arial"/>
                <w:sz w:val="22"/>
              </w:rPr>
              <w:t>139</w:t>
            </w:r>
          </w:p>
        </w:tc>
        <w:tc>
          <w:tcPr>
            <w:tcW w:w="1346" w:type="dxa"/>
            <w:shd w:val="solid" w:color="FFFFFF" w:fill="auto"/>
          </w:tcPr>
          <w:p w14:paraId="7E60EA4C" w14:textId="77777777" w:rsidR="00F74433" w:rsidRDefault="00A46230">
            <w:pPr>
              <w:autoSpaceDE w:val="0"/>
              <w:autoSpaceDN w:val="0"/>
              <w:adjustRightInd w:val="0"/>
              <w:jc w:val="center"/>
              <w:rPr>
                <w:rFonts w:cs="Arial"/>
                <w:color w:val="FF0000"/>
                <w:sz w:val="22"/>
              </w:rPr>
            </w:pPr>
            <w:r>
              <w:rPr>
                <w:rFonts w:cs="Arial"/>
                <w:color w:val="FF0000"/>
                <w:sz w:val="22"/>
              </w:rPr>
              <w:t>-3817</w:t>
            </w:r>
          </w:p>
        </w:tc>
      </w:tr>
    </w:tbl>
    <w:p w14:paraId="6B9150F7" w14:textId="77777777" w:rsidR="00F74433" w:rsidRDefault="00A46230">
      <w:pPr>
        <w:pStyle w:val="Default"/>
        <w:spacing w:line="276" w:lineRule="auto"/>
        <w:jc w:val="both"/>
        <w:rPr>
          <w:rFonts w:ascii="Arial" w:hAnsi="Arial" w:cs="Arial"/>
          <w:sz w:val="16"/>
          <w:szCs w:val="16"/>
        </w:rPr>
      </w:pPr>
      <w:r>
        <w:rPr>
          <w:rFonts w:ascii="Arial" w:hAnsi="Arial" w:cs="Arial"/>
          <w:sz w:val="16"/>
          <w:szCs w:val="16"/>
        </w:rPr>
        <w:t>Fuente: Proyecto UAECOB-UNAL (2021).</w:t>
      </w:r>
    </w:p>
    <w:p w14:paraId="40DC125C" w14:textId="77777777" w:rsidR="00F74433" w:rsidRDefault="00F74433">
      <w:pPr>
        <w:pStyle w:val="Default"/>
        <w:spacing w:line="276" w:lineRule="auto"/>
        <w:jc w:val="both"/>
        <w:rPr>
          <w:rFonts w:ascii="Arial" w:hAnsi="Arial" w:cs="Arial"/>
        </w:rPr>
      </w:pPr>
    </w:p>
    <w:p w14:paraId="55B92C5C" w14:textId="77777777" w:rsidR="00F74433" w:rsidRDefault="00A46230">
      <w:pPr>
        <w:pStyle w:val="Default"/>
        <w:spacing w:line="276" w:lineRule="auto"/>
        <w:jc w:val="both"/>
        <w:rPr>
          <w:rFonts w:ascii="Arial" w:hAnsi="Arial" w:cs="Arial"/>
        </w:rPr>
      </w:pPr>
      <w:r>
        <w:rPr>
          <w:rFonts w:ascii="Arial" w:hAnsi="Arial" w:cs="Arial"/>
        </w:rPr>
        <w:t xml:space="preserve">Por lo anterior, se evidencia la necesidad de fortalecer la capacidad de Bomberos Voluntarios de Bogotá, la Defensa Civil Seccional Bogotá y la Cruz Roja Colombiana Seccional Cundinamarca y Bogotá en manejo de respuesta para fortalecer institucionalmente estas entidades con el fin de atender la demanda de servicios ante un evento sísmico de gran magnitud. Por consiguiente, el presente proyecto busca el fortalecimiento de estas entidades para lograr la sinergia que el Distrito Capital requiere en servicios de respuesta en búsqueda y rescate, extinción de incendios y atención en materiales peligrosos. Se pretende entonces, disminuir la brecha sustancialmente para garantizar una respuesta aceptable por parte del Distrito en atención en este tipo de eventos. El fortalecimiento y la operación cotidiana de las entidades voluntarias de Bomberos Voluntarios de Bogotá, la Defensa Civil Seccional Bogotá y la Cruz Roja Colombiana Seccional Cundinamarca son determinantes para asegurar la integralidad de la respuesta ante grandes desastres de la ciudad. </w:t>
      </w:r>
    </w:p>
    <w:p w14:paraId="3BE7B690" w14:textId="77777777" w:rsidR="00F74433" w:rsidRDefault="00A46230">
      <w:pPr>
        <w:pStyle w:val="Default"/>
        <w:spacing w:line="276" w:lineRule="auto"/>
        <w:jc w:val="both"/>
        <w:rPr>
          <w:rFonts w:ascii="Arial" w:hAnsi="Arial" w:cs="Arial"/>
        </w:rPr>
      </w:pPr>
      <w:r>
        <w:rPr>
          <w:rFonts w:ascii="Arial" w:hAnsi="Arial" w:cs="Arial"/>
          <w:highlight w:val="yellow"/>
        </w:rPr>
        <w:t xml:space="preserve"> </w:t>
      </w:r>
    </w:p>
    <w:p w14:paraId="435396CB" w14:textId="77777777" w:rsidR="00F74433" w:rsidRDefault="00A46230">
      <w:pPr>
        <w:pStyle w:val="Default"/>
        <w:spacing w:line="276" w:lineRule="auto"/>
        <w:jc w:val="both"/>
        <w:rPr>
          <w:rFonts w:ascii="Arial" w:hAnsi="Arial" w:cs="Arial"/>
        </w:rPr>
      </w:pPr>
      <w:r>
        <w:rPr>
          <w:rFonts w:ascii="Arial" w:hAnsi="Arial" w:cs="Arial"/>
        </w:rPr>
        <w:t xml:space="preserve">Adicionalmente, los Bomberos Voluntarios de Bogotá, la Defensa Civil Seccional Bogotá y la Cruz Roja Colombiana Seccional Cundinamarca y Bogotá son entidades - organizaciones responsables de ejecución y apoyo a los servicios de respuesta búsqueda y rescate, extinción de incendios y materiales peligrosos, atención prehospitalaria, alojamientos temporales, entregas de ayuda humanitaria, restablecimientos de contactos familiares, entre otros. </w:t>
      </w:r>
    </w:p>
    <w:p w14:paraId="78CCB379" w14:textId="77777777" w:rsidR="00F74433" w:rsidRDefault="00F74433">
      <w:pPr>
        <w:pStyle w:val="Default"/>
        <w:spacing w:line="276" w:lineRule="auto"/>
        <w:jc w:val="both"/>
        <w:rPr>
          <w:rFonts w:ascii="Arial" w:hAnsi="Arial" w:cs="Arial"/>
        </w:rPr>
      </w:pPr>
    </w:p>
    <w:p w14:paraId="600E1EF8" w14:textId="77777777" w:rsidR="00F74433" w:rsidRDefault="00A46230">
      <w:pPr>
        <w:pStyle w:val="Default"/>
        <w:spacing w:line="276" w:lineRule="auto"/>
        <w:jc w:val="both"/>
        <w:rPr>
          <w:rFonts w:ascii="Arial" w:hAnsi="Arial" w:cs="Arial"/>
        </w:rPr>
      </w:pPr>
      <w:r>
        <w:rPr>
          <w:rFonts w:ascii="Arial" w:hAnsi="Arial" w:cs="Arial"/>
        </w:rPr>
        <w:t>En la actualidad se cuenta con 638 Bomberos Oficiales en Bogotá los cuales se distribuyen en 17 estaciones del Distrito Capital, 3 turnos y personal fuera de actividad (vacaciones – incapacidades - licencia) y 160 Bomberos Voluntarios, los cuales de acuerdo con normatividad internacional y las necesidades de atención a la población en emergencias son insuficientes. De acuerdo con las normas internacionales de la NFPA</w:t>
      </w:r>
      <w:r>
        <w:rPr>
          <w:rStyle w:val="Refdenotaalpie"/>
          <w:rFonts w:ascii="Arial" w:hAnsi="Arial" w:cs="Arial"/>
        </w:rPr>
        <w:footnoteReference w:id="2"/>
      </w:r>
      <w:r>
        <w:rPr>
          <w:rFonts w:ascii="Arial" w:hAnsi="Arial" w:cs="Arial"/>
        </w:rPr>
        <w:t xml:space="preserve">  y de la Unión Europea por cada 1.000 habitantes debe existir 1 bombero, adicionalmente se pueden tener en cuenta otros factores como la densidad poblacional, sectores industriales, entre otros, para considerar la cantidad necesaria ideal de bomberos</w:t>
      </w:r>
    </w:p>
    <w:p w14:paraId="2287C1CF" w14:textId="77777777" w:rsidR="00F74433" w:rsidRDefault="00F74433">
      <w:pPr>
        <w:pStyle w:val="Default"/>
        <w:spacing w:line="276" w:lineRule="auto"/>
        <w:jc w:val="both"/>
        <w:rPr>
          <w:rFonts w:ascii="Arial" w:hAnsi="Arial" w:cs="Arial"/>
        </w:rPr>
      </w:pPr>
    </w:p>
    <w:p w14:paraId="4D22DFB7" w14:textId="77777777" w:rsidR="00F74433" w:rsidRDefault="00A46230">
      <w:pPr>
        <w:pStyle w:val="Default"/>
        <w:spacing w:line="276" w:lineRule="auto"/>
        <w:jc w:val="both"/>
        <w:rPr>
          <w:rFonts w:ascii="Arial" w:hAnsi="Arial" w:cs="Arial"/>
        </w:rPr>
      </w:pPr>
      <w:r>
        <w:rPr>
          <w:rFonts w:ascii="Arial" w:hAnsi="Arial" w:cs="Arial"/>
        </w:rPr>
        <w:t>Bogotá cuenta con aproximadamente 0.11 Bomberos por cada mil habitantes mientras que la Ciudad de Nueva York cuenta con aproximadamente 1.4 Bomberos por cada mil habitantes. Es importante tener en cuenta que al presentarse un evento de gran magnitud algunos recursos humanos y físicos de los Bomberos Oficiales de Bogotá podrían quedar fuera de servicio de forma tal que la relación de recursos por habitante se disminuiría.</w:t>
      </w:r>
    </w:p>
    <w:p w14:paraId="4DED4E30" w14:textId="77777777" w:rsidR="00F74433" w:rsidRDefault="00F74433">
      <w:pPr>
        <w:pStyle w:val="Default"/>
        <w:spacing w:line="276" w:lineRule="auto"/>
        <w:jc w:val="both"/>
        <w:rPr>
          <w:rFonts w:ascii="Arial" w:hAnsi="Arial" w:cs="Arial"/>
        </w:rPr>
      </w:pPr>
    </w:p>
    <w:p w14:paraId="23DD780F" w14:textId="77777777" w:rsidR="00F74433" w:rsidRDefault="00F74433">
      <w:pPr>
        <w:pStyle w:val="Default"/>
        <w:spacing w:line="276" w:lineRule="auto"/>
        <w:jc w:val="both"/>
        <w:rPr>
          <w:rFonts w:ascii="Arial" w:hAnsi="Arial" w:cs="Arial"/>
        </w:rPr>
      </w:pPr>
    </w:p>
    <w:p w14:paraId="02538B27" w14:textId="77777777" w:rsidR="00F74433" w:rsidRDefault="00A46230">
      <w:pPr>
        <w:pStyle w:val="Default"/>
        <w:spacing w:line="276" w:lineRule="auto"/>
        <w:jc w:val="both"/>
        <w:rPr>
          <w:rFonts w:ascii="Arial" w:hAnsi="Arial" w:cs="Arial"/>
        </w:rPr>
      </w:pPr>
      <w:r>
        <w:rPr>
          <w:rFonts w:ascii="Arial" w:hAnsi="Arial" w:cs="Arial"/>
          <w:noProof/>
          <w:lang w:eastAsia="es-CO"/>
        </w:rPr>
        <w:drawing>
          <wp:inline distT="0" distB="0" distL="0" distR="0">
            <wp:extent cx="5687060" cy="2202815"/>
            <wp:effectExtent l="0" t="0" r="8890" b="698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0E1761" w14:textId="77777777" w:rsidR="00F74433" w:rsidRDefault="00A46230">
      <w:pPr>
        <w:spacing w:line="276" w:lineRule="auto"/>
        <w:jc w:val="both"/>
        <w:rPr>
          <w:rFonts w:cs="Arial"/>
          <w:szCs w:val="24"/>
        </w:rPr>
      </w:pPr>
      <w:r>
        <w:rPr>
          <w:rFonts w:cs="Arial"/>
          <w:sz w:val="16"/>
          <w:szCs w:val="16"/>
        </w:rPr>
        <w:t xml:space="preserve">Fuente: Elaboración propia con cifras de la UAECOB &amp; </w:t>
      </w:r>
      <w:r>
        <w:rPr>
          <w:sz w:val="16"/>
          <w:szCs w:val="16"/>
        </w:rPr>
        <w:t>National Fire Protection Association.</w:t>
      </w:r>
    </w:p>
    <w:p w14:paraId="69A3D7A1" w14:textId="77777777" w:rsidR="00F74433" w:rsidRDefault="00F74433">
      <w:pPr>
        <w:pStyle w:val="Default"/>
        <w:spacing w:line="276" w:lineRule="auto"/>
        <w:jc w:val="both"/>
        <w:rPr>
          <w:rFonts w:ascii="Arial" w:hAnsi="Arial" w:cs="Arial"/>
        </w:rPr>
      </w:pPr>
    </w:p>
    <w:p w14:paraId="4D9421D7" w14:textId="77777777" w:rsidR="00F74433" w:rsidRDefault="00A46230">
      <w:pPr>
        <w:pStyle w:val="Default"/>
        <w:spacing w:line="276" w:lineRule="auto"/>
        <w:jc w:val="both"/>
        <w:rPr>
          <w:rFonts w:ascii="Arial" w:hAnsi="Arial" w:cs="Arial"/>
          <w:color w:val="000000" w:themeColor="text1"/>
        </w:rPr>
      </w:pPr>
      <w:r>
        <w:rPr>
          <w:rFonts w:ascii="Arial" w:hAnsi="Arial" w:cs="Arial"/>
        </w:rPr>
        <w:t xml:space="preserve">Dentro de las necesidades de la población del distrito encontramos la atención a eventos de origen natural como lo son </w:t>
      </w:r>
      <w:r>
        <w:rPr>
          <w:rFonts w:ascii="Arial" w:hAnsi="Arial" w:cs="Arial"/>
          <w:color w:val="000000" w:themeColor="text1"/>
        </w:rPr>
        <w:t xml:space="preserve">granizadas, lluvias torrenciales, vendavales, inundaciones, épocas de menos lluvias o sequía, deslizamientos, atención a eventos de posible origen antrópico como los son incendios estructurales o forestales que requieren de un personal no solo numeroso sino altamente capacitado y completamente equipado, accidentes domésticos, de tránsito, incidentes causados por la ocupación (legal o no) en zonas inestables, inundables, o personas viviendo en casas que no cumplen con requisitos mínimos para ser habitada, presentándose adicionalmente en la ciudad atentados con artefactos explosivos. </w:t>
      </w:r>
    </w:p>
    <w:p w14:paraId="46E31397" w14:textId="77777777" w:rsidR="00F74433" w:rsidRDefault="00F74433">
      <w:pPr>
        <w:pStyle w:val="Default"/>
        <w:spacing w:line="276" w:lineRule="auto"/>
        <w:jc w:val="both"/>
        <w:rPr>
          <w:rFonts w:ascii="Arial" w:hAnsi="Arial" w:cs="Arial"/>
          <w:color w:val="000000" w:themeColor="text1"/>
        </w:rPr>
      </w:pPr>
    </w:p>
    <w:p w14:paraId="10736392" w14:textId="77777777" w:rsidR="00F74433" w:rsidRDefault="00A46230">
      <w:pPr>
        <w:pStyle w:val="Default"/>
        <w:spacing w:line="276" w:lineRule="auto"/>
        <w:jc w:val="both"/>
        <w:rPr>
          <w:rFonts w:ascii="Arial" w:hAnsi="Arial" w:cs="Arial"/>
          <w:color w:val="000000" w:themeColor="text1"/>
        </w:rPr>
      </w:pPr>
      <w:r>
        <w:rPr>
          <w:rFonts w:ascii="Arial" w:hAnsi="Arial" w:cs="Arial"/>
          <w:color w:val="000000" w:themeColor="text1"/>
        </w:rPr>
        <w:t xml:space="preserve">Adicional a las emergencias habituales los Bomberos Voluntarios, la Defensa Civil Bogotá y la Cruz Roja seccional Cundinamarca y </w:t>
      </w:r>
      <w:r w:rsidR="005C504F">
        <w:rPr>
          <w:rFonts w:ascii="Arial" w:hAnsi="Arial" w:cs="Arial"/>
          <w:color w:val="000000" w:themeColor="text1"/>
        </w:rPr>
        <w:t>Bogotá</w:t>
      </w:r>
      <w:r>
        <w:rPr>
          <w:rFonts w:ascii="Arial" w:hAnsi="Arial" w:cs="Arial"/>
          <w:color w:val="000000" w:themeColor="text1"/>
        </w:rPr>
        <w:t xml:space="preserve"> han apoyado y atendido a lo largo de la historia eventos que han afectado a la estabilidad de población, el medio ambiente y la economía del Distrito Capital, a continuación, se presentan algunos hitos:</w:t>
      </w:r>
    </w:p>
    <w:p w14:paraId="35BF981B" w14:textId="77777777" w:rsidR="00F74433" w:rsidRDefault="00F74433">
      <w:pPr>
        <w:pStyle w:val="Default"/>
        <w:spacing w:line="276" w:lineRule="auto"/>
        <w:jc w:val="both"/>
        <w:rPr>
          <w:rFonts w:ascii="Arial" w:hAnsi="Arial" w:cs="Arial"/>
          <w:color w:val="000000" w:themeColor="text1"/>
        </w:rPr>
      </w:pPr>
    </w:p>
    <w:tbl>
      <w:tblPr>
        <w:tblStyle w:val="Tablaconcuadrcula1clara1"/>
        <w:tblW w:w="9209" w:type="dxa"/>
        <w:jc w:val="center"/>
        <w:tblLook w:val="04A0" w:firstRow="1" w:lastRow="0" w:firstColumn="1" w:lastColumn="0" w:noHBand="0" w:noVBand="1"/>
      </w:tblPr>
      <w:tblGrid>
        <w:gridCol w:w="2689"/>
        <w:gridCol w:w="6520"/>
      </w:tblGrid>
      <w:tr w:rsidR="00F74433" w14:paraId="5FCAB73E" w14:textId="77777777" w:rsidTr="00F74433">
        <w:trPr>
          <w:cnfStyle w:val="100000000000" w:firstRow="1" w:lastRow="0" w:firstColumn="0" w:lastColumn="0" w:oddVBand="0" w:evenVBand="0" w:oddHBand="0" w:evenHBand="0" w:firstRowFirstColumn="0" w:firstRowLastColumn="0" w:lastRowFirstColumn="0" w:lastRowLastColumn="0"/>
          <w:trHeight w:val="550"/>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23B02E7" w14:textId="77777777" w:rsidR="00F74433" w:rsidRDefault="00A46230">
            <w:pPr>
              <w:pStyle w:val="Default"/>
              <w:spacing w:line="276" w:lineRule="auto"/>
              <w:jc w:val="center"/>
              <w:rPr>
                <w:rFonts w:ascii="Arial" w:hAnsi="Arial" w:cs="Arial"/>
                <w:b w:val="0"/>
                <w:bCs w:val="0"/>
                <w:color w:val="000000" w:themeColor="text1"/>
              </w:rPr>
            </w:pPr>
            <w:r>
              <w:rPr>
                <w:rFonts w:ascii="Arial" w:hAnsi="Arial" w:cs="Arial"/>
                <w:color w:val="000000" w:themeColor="text1"/>
              </w:rPr>
              <w:t>Tipo de Evento</w:t>
            </w:r>
          </w:p>
        </w:tc>
        <w:tc>
          <w:tcPr>
            <w:tcW w:w="6520" w:type="dxa"/>
            <w:vAlign w:val="center"/>
          </w:tcPr>
          <w:p w14:paraId="7CEB0924" w14:textId="77777777" w:rsidR="00F74433" w:rsidRDefault="00A46230">
            <w:pPr>
              <w:pStyle w:val="Default"/>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themeColor="text1"/>
              </w:rPr>
            </w:pPr>
            <w:r>
              <w:rPr>
                <w:rFonts w:ascii="Arial" w:hAnsi="Arial" w:cs="Arial"/>
                <w:color w:val="000000" w:themeColor="text1"/>
              </w:rPr>
              <w:t>Descripción</w:t>
            </w:r>
          </w:p>
        </w:tc>
      </w:tr>
      <w:tr w:rsidR="00F74433" w14:paraId="3C046425"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7EE4A774"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Atentados</w:t>
            </w:r>
          </w:p>
        </w:tc>
        <w:tc>
          <w:tcPr>
            <w:tcW w:w="6520" w:type="dxa"/>
            <w:vAlign w:val="center"/>
          </w:tcPr>
          <w:p w14:paraId="24F8F67E"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Atentados con artefactos explosivos desde finales de los 80´s hasta la explosión con carro bomba en la Escuela de Policía General Santander año 2019.</w:t>
            </w:r>
          </w:p>
          <w:p w14:paraId="7E15023B"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Toma del Palacio de Justicia 1985</w:t>
            </w:r>
          </w:p>
          <w:p w14:paraId="0703960F"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DAS año 1989</w:t>
            </w:r>
          </w:p>
          <w:p w14:paraId="2FA08468"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Club El Nogal año 2003</w:t>
            </w:r>
          </w:p>
        </w:tc>
      </w:tr>
      <w:tr w:rsidR="00F74433" w14:paraId="6C5E33DA"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0F82BB88"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Accidentes Aéreos</w:t>
            </w:r>
          </w:p>
        </w:tc>
        <w:tc>
          <w:tcPr>
            <w:tcW w:w="6520" w:type="dxa"/>
            <w:vAlign w:val="center"/>
          </w:tcPr>
          <w:p w14:paraId="25610CF3"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Vuelo HK – 777 Aerocóndor año 1973</w:t>
            </w:r>
          </w:p>
          <w:p w14:paraId="173A9721"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Vuelo HK 1101, de Satena año 1979</w:t>
            </w:r>
          </w:p>
          <w:p w14:paraId="3DC48017"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Boeing 727 TAME año 1998</w:t>
            </w:r>
          </w:p>
          <w:p w14:paraId="3672C78D"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Avioneta HK-3917G Engativá año 2015</w:t>
            </w:r>
          </w:p>
        </w:tc>
      </w:tr>
      <w:tr w:rsidR="00F74433" w14:paraId="6E066CA4"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74F824E8"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Incendios Forestales y Estructurales</w:t>
            </w:r>
          </w:p>
        </w:tc>
        <w:tc>
          <w:tcPr>
            <w:tcW w:w="6520" w:type="dxa"/>
            <w:vAlign w:val="center"/>
          </w:tcPr>
          <w:p w14:paraId="6EACDC14"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Edificio Avianca año 1973</w:t>
            </w:r>
          </w:p>
          <w:p w14:paraId="7883D895"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Depósitos de Combustibles de Puente Aranda 1983</w:t>
            </w:r>
          </w:p>
          <w:p w14:paraId="7518CCED"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lang w:val="pt-BR"/>
              </w:rPr>
            </w:pPr>
            <w:r>
              <w:rPr>
                <w:rFonts w:ascii="Arial" w:hAnsi="Arial" w:cs="Arial"/>
                <w:color w:val="000000" w:themeColor="text1"/>
                <w:lang w:val="pt-BR"/>
              </w:rPr>
              <w:t>Fábrica de pinturas Every año 2008</w:t>
            </w:r>
          </w:p>
          <w:p w14:paraId="537AA997"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 xml:space="preserve">Crisis por incendios forestales años 2000 </w:t>
            </w:r>
          </w:p>
          <w:p w14:paraId="23C8EBAF"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Incendio forestal cerros orientales de las localidades de Santa Fe y San Cristóbal en febrero año 2016</w:t>
            </w:r>
          </w:p>
        </w:tc>
      </w:tr>
      <w:tr w:rsidR="00F74433" w14:paraId="5FEFE98B"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0782C824"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 xml:space="preserve">Inundaciones </w:t>
            </w:r>
          </w:p>
        </w:tc>
        <w:tc>
          <w:tcPr>
            <w:tcW w:w="6520" w:type="dxa"/>
            <w:vAlign w:val="center"/>
          </w:tcPr>
          <w:p w14:paraId="3F44CA98" w14:textId="77777777" w:rsidR="00F74433" w:rsidRDefault="00A46230">
            <w:pPr>
              <w:pStyle w:val="Prrafodelista"/>
              <w:numPr>
                <w:ilvl w:val="0"/>
                <w:numId w:val="5"/>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Arial"/>
                <w:color w:val="000000" w:themeColor="text1"/>
              </w:rPr>
            </w:pPr>
            <w:r>
              <w:rPr>
                <w:rFonts w:cs="Arial"/>
                <w:color w:val="000000" w:themeColor="text1"/>
              </w:rPr>
              <w:t>Desbordamiento Rio Tunjuelito año 1969</w:t>
            </w:r>
          </w:p>
          <w:p w14:paraId="4D1D07ED" w14:textId="77777777" w:rsidR="00F74433" w:rsidRDefault="00A46230">
            <w:pPr>
              <w:pStyle w:val="Prrafodelista"/>
              <w:numPr>
                <w:ilvl w:val="0"/>
                <w:numId w:val="5"/>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Arial"/>
                <w:color w:val="000000" w:themeColor="text1"/>
              </w:rPr>
            </w:pPr>
            <w:r>
              <w:rPr>
                <w:rFonts w:cs="Arial"/>
                <w:color w:val="000000" w:themeColor="text1"/>
              </w:rPr>
              <w:t>Inundaciones Bosa y Kennedy año 2011</w:t>
            </w:r>
          </w:p>
          <w:p w14:paraId="6DC5FFB6" w14:textId="77777777" w:rsidR="00F74433" w:rsidRDefault="00A46230">
            <w:pPr>
              <w:pStyle w:val="Prrafodelista"/>
              <w:numPr>
                <w:ilvl w:val="0"/>
                <w:numId w:val="5"/>
              </w:numPr>
              <w:spacing w:line="276" w:lineRule="auto"/>
              <w:contextualSpacing/>
              <w:cnfStyle w:val="000000000000" w:firstRow="0" w:lastRow="0" w:firstColumn="0" w:lastColumn="0" w:oddVBand="0" w:evenVBand="0" w:oddHBand="0" w:evenHBand="0" w:firstRowFirstColumn="0" w:firstRowLastColumn="0" w:lastRowFirstColumn="0" w:lastRowLastColumn="0"/>
              <w:rPr>
                <w:rFonts w:cs="Arial"/>
                <w:color w:val="000000" w:themeColor="text1"/>
              </w:rPr>
            </w:pPr>
            <w:r>
              <w:rPr>
                <w:rFonts w:cs="Arial"/>
                <w:color w:val="000000" w:themeColor="text1"/>
              </w:rPr>
              <w:t>Temporadas invernales con desbordamiento de ríos, avalanchas e inundaciones con afectación en todo Bogotá.</w:t>
            </w:r>
          </w:p>
        </w:tc>
      </w:tr>
      <w:tr w:rsidR="00F74433" w14:paraId="17CCEF29"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1DF603A"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Deslizamientos</w:t>
            </w:r>
          </w:p>
        </w:tc>
        <w:tc>
          <w:tcPr>
            <w:tcW w:w="6520" w:type="dxa"/>
            <w:vAlign w:val="center"/>
          </w:tcPr>
          <w:p w14:paraId="417B45AC" w14:textId="77777777" w:rsidR="00F74433" w:rsidRDefault="00A4623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Derivados de temporadas de lluvia en la Capital</w:t>
            </w:r>
          </w:p>
          <w:p w14:paraId="312C9E98"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Ciudad Bolívar Barrio San Rafael año 2020</w:t>
            </w:r>
          </w:p>
        </w:tc>
      </w:tr>
      <w:tr w:rsidR="00F74433" w14:paraId="63F72635"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2BFFA561"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Accidentes de Transito</w:t>
            </w:r>
          </w:p>
        </w:tc>
        <w:tc>
          <w:tcPr>
            <w:tcW w:w="6520" w:type="dxa"/>
            <w:vAlign w:val="center"/>
          </w:tcPr>
          <w:p w14:paraId="09783789" w14:textId="77777777" w:rsidR="00F74433" w:rsidRDefault="00A4623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Bus Colegio Agustiniano año 2004</w:t>
            </w:r>
          </w:p>
        </w:tc>
      </w:tr>
      <w:tr w:rsidR="00F74433" w14:paraId="54847770" w14:textId="77777777" w:rsidTr="00F74433">
        <w:trPr>
          <w:trHeight w:val="467"/>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1B81BC3D"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Rescates de montaña</w:t>
            </w:r>
          </w:p>
        </w:tc>
        <w:tc>
          <w:tcPr>
            <w:tcW w:w="6520" w:type="dxa"/>
            <w:vAlign w:val="center"/>
          </w:tcPr>
          <w:p w14:paraId="5B1F22BC" w14:textId="77777777" w:rsidR="00F74433" w:rsidRDefault="00A4623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Rescates de caminantes que se extravían en los Cerros del Distrito.</w:t>
            </w:r>
          </w:p>
        </w:tc>
      </w:tr>
      <w:tr w:rsidR="00F74433" w14:paraId="086EF907"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78E6E82A"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Manifestaciones –Paros</w:t>
            </w:r>
          </w:p>
        </w:tc>
        <w:tc>
          <w:tcPr>
            <w:tcW w:w="6520" w:type="dxa"/>
            <w:vAlign w:val="center"/>
          </w:tcPr>
          <w:p w14:paraId="4D65835A"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Paro de vehículos de servicio público 2001 entre otros</w:t>
            </w:r>
          </w:p>
          <w:p w14:paraId="4A6CE358"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Manifestación Nacional 2019 entre otros.</w:t>
            </w:r>
          </w:p>
          <w:p w14:paraId="4E5A8407"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Marchas anuales fecha 1º de mayo</w:t>
            </w:r>
          </w:p>
          <w:p w14:paraId="0187F150"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Visitas de la Minga</w:t>
            </w:r>
          </w:p>
          <w:p w14:paraId="57414BB3"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Celebración del 20 de Julio</w:t>
            </w:r>
          </w:p>
          <w:p w14:paraId="7F01F05C" w14:textId="77777777" w:rsidR="00F74433" w:rsidRDefault="00A46230">
            <w:pPr>
              <w:pStyle w:val="Default"/>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Caminata por la solidaridad de Colombia</w:t>
            </w:r>
          </w:p>
        </w:tc>
      </w:tr>
      <w:tr w:rsidR="00F74433" w14:paraId="462103FE" w14:textId="77777777" w:rsidTr="00F74433">
        <w:trPr>
          <w:trHeight w:val="380"/>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245441E9"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Eventos Masivos</w:t>
            </w:r>
          </w:p>
        </w:tc>
        <w:tc>
          <w:tcPr>
            <w:tcW w:w="6520" w:type="dxa"/>
            <w:vAlign w:val="center"/>
          </w:tcPr>
          <w:p w14:paraId="4F713C3E" w14:textId="77777777" w:rsidR="00F74433" w:rsidRDefault="00A4623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Visita de los papas Juan Pablo II año 1986 y Francisco año 2017</w:t>
            </w:r>
          </w:p>
        </w:tc>
      </w:tr>
      <w:tr w:rsidR="00F74433" w14:paraId="495BAA9E" w14:textId="77777777" w:rsidTr="00F74433">
        <w:trPr>
          <w:jc w:val="center"/>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7BA30F92" w14:textId="77777777" w:rsidR="00F74433" w:rsidRDefault="00A46230">
            <w:pPr>
              <w:pStyle w:val="Default"/>
              <w:spacing w:line="276" w:lineRule="auto"/>
              <w:rPr>
                <w:rFonts w:ascii="Arial" w:hAnsi="Arial" w:cs="Arial"/>
                <w:b w:val="0"/>
                <w:bCs w:val="0"/>
                <w:color w:val="000000" w:themeColor="text1"/>
              </w:rPr>
            </w:pPr>
            <w:r>
              <w:rPr>
                <w:rFonts w:ascii="Arial" w:hAnsi="Arial" w:cs="Arial"/>
                <w:color w:val="000000" w:themeColor="text1"/>
              </w:rPr>
              <w:t>Pandemia</w:t>
            </w:r>
          </w:p>
        </w:tc>
        <w:tc>
          <w:tcPr>
            <w:tcW w:w="6520" w:type="dxa"/>
            <w:vAlign w:val="center"/>
          </w:tcPr>
          <w:p w14:paraId="39994E3F" w14:textId="77777777" w:rsidR="00F74433" w:rsidRDefault="00A4623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Atención a familiares y pacientes positivos de Covid – 19 desde marzo de 2020 hasta la fecha.</w:t>
            </w:r>
          </w:p>
        </w:tc>
      </w:tr>
    </w:tbl>
    <w:p w14:paraId="5CAD402B" w14:textId="77777777" w:rsidR="00F74433" w:rsidRDefault="00A46230">
      <w:pPr>
        <w:pStyle w:val="Default"/>
        <w:spacing w:line="276" w:lineRule="auto"/>
        <w:jc w:val="both"/>
        <w:rPr>
          <w:rFonts w:ascii="Arial" w:hAnsi="Arial" w:cs="Arial"/>
          <w:color w:val="000000" w:themeColor="text1"/>
          <w:sz w:val="16"/>
          <w:szCs w:val="16"/>
        </w:rPr>
      </w:pPr>
      <w:r>
        <w:rPr>
          <w:rFonts w:ascii="Arial" w:hAnsi="Arial" w:cs="Arial"/>
          <w:color w:val="000000" w:themeColor="text1"/>
          <w:sz w:val="16"/>
          <w:szCs w:val="16"/>
        </w:rPr>
        <w:t>Fuente: IDIGER.</w:t>
      </w:r>
    </w:p>
    <w:p w14:paraId="7D83AA7A" w14:textId="77777777" w:rsidR="00F74433" w:rsidRDefault="00F74433">
      <w:pPr>
        <w:pStyle w:val="Default"/>
        <w:spacing w:line="276" w:lineRule="auto"/>
        <w:jc w:val="both"/>
        <w:rPr>
          <w:rFonts w:ascii="Arial" w:hAnsi="Arial" w:cs="Arial"/>
          <w:color w:val="000000" w:themeColor="text1"/>
        </w:rPr>
      </w:pPr>
    </w:p>
    <w:p w14:paraId="3F300A00" w14:textId="77777777" w:rsidR="00F74433" w:rsidRDefault="00A46230">
      <w:pPr>
        <w:pStyle w:val="Default"/>
        <w:spacing w:line="276" w:lineRule="auto"/>
        <w:jc w:val="both"/>
        <w:rPr>
          <w:rFonts w:ascii="Arial" w:hAnsi="Arial" w:cs="Arial"/>
          <w:color w:val="000000" w:themeColor="text1"/>
        </w:rPr>
      </w:pPr>
      <w:r>
        <w:rPr>
          <w:rFonts w:ascii="Arial" w:hAnsi="Arial" w:cs="Arial"/>
          <w:color w:val="000000" w:themeColor="text1"/>
        </w:rPr>
        <w:t>Por otra parte, a los eventos que se presentan con regularidad en Bogotá, también es necesario tener en cuenta el riesgo sísmico al cual se encuentran expuestas las edificaciones de la ciudad, donde de acuerdo con estudios realizados por el IDIGER en el año 2018 (SISMARB), si se presenta un sismo en la falla Frontal Cordillera Oriental se podría afectar hasta del 88% de las manzanas construidas en el distrito con valores hasta de 27% del valor total de las construcciones</w:t>
      </w:r>
      <w:r>
        <w:rPr>
          <w:rStyle w:val="Refdenotaalpie"/>
          <w:rFonts w:ascii="Arial" w:hAnsi="Arial" w:cs="Arial"/>
          <w:color w:val="000000" w:themeColor="text1"/>
        </w:rPr>
        <w:footnoteReference w:id="3"/>
      </w:r>
      <w:r>
        <w:rPr>
          <w:rFonts w:ascii="Arial" w:hAnsi="Arial" w:cs="Arial"/>
          <w:color w:val="000000" w:themeColor="text1"/>
        </w:rPr>
        <w:t xml:space="preserve">. Siendo esta falla la que presenta el escenario de sismo más crítico, las cuatro fallas adicionales influencia en Bogotá también presentan escenarios importantes. </w:t>
      </w:r>
    </w:p>
    <w:p w14:paraId="5E5ED8D9" w14:textId="77777777" w:rsidR="00F74433" w:rsidRDefault="00F74433">
      <w:pPr>
        <w:pStyle w:val="Default"/>
        <w:spacing w:line="276" w:lineRule="auto"/>
        <w:jc w:val="both"/>
        <w:rPr>
          <w:rFonts w:ascii="Arial" w:hAnsi="Arial" w:cs="Arial"/>
          <w:color w:val="000000" w:themeColor="text1"/>
        </w:rPr>
      </w:pPr>
    </w:p>
    <w:p w14:paraId="77B1EECB" w14:textId="77777777" w:rsidR="00F74433" w:rsidRDefault="00A46230">
      <w:pPr>
        <w:pStyle w:val="Default"/>
        <w:spacing w:line="276" w:lineRule="auto"/>
        <w:jc w:val="both"/>
        <w:rPr>
          <w:rFonts w:ascii="Arial" w:hAnsi="Arial" w:cs="Arial"/>
          <w:color w:val="000000" w:themeColor="text1"/>
        </w:rPr>
      </w:pPr>
      <w:r>
        <w:rPr>
          <w:rFonts w:ascii="Arial" w:hAnsi="Arial" w:cs="Arial"/>
          <w:color w:val="000000" w:themeColor="text1"/>
        </w:rPr>
        <w:t>Así mismo, es fundamental brindar a la población conocimientos sobre la gestión de riesgo de desastres lo cual permite prevenir y reducir la ocurrencia de eventos en el distrito y afrontar situaciones de desastre, esto de acuerdo con la normatividad asociada al sistema nacional y distrital para la gestión del riesgo de desastres.</w:t>
      </w:r>
    </w:p>
    <w:p w14:paraId="0022EC84" w14:textId="77777777" w:rsidR="00F74433" w:rsidRDefault="00F74433">
      <w:pPr>
        <w:pStyle w:val="Default"/>
        <w:spacing w:line="276" w:lineRule="auto"/>
        <w:jc w:val="both"/>
        <w:rPr>
          <w:rFonts w:ascii="Arial" w:hAnsi="Arial" w:cs="Arial"/>
          <w:color w:val="000000" w:themeColor="text1"/>
        </w:rPr>
      </w:pPr>
    </w:p>
    <w:p w14:paraId="56D846B7" w14:textId="77777777" w:rsidR="00F74433" w:rsidRDefault="00A46230">
      <w:pPr>
        <w:pStyle w:val="Default"/>
        <w:spacing w:line="276" w:lineRule="auto"/>
        <w:jc w:val="both"/>
        <w:rPr>
          <w:rFonts w:ascii="Arial" w:hAnsi="Arial" w:cs="Arial"/>
        </w:rPr>
      </w:pPr>
      <w:r>
        <w:rPr>
          <w:rFonts w:ascii="Arial" w:hAnsi="Arial" w:cs="Arial"/>
        </w:rPr>
        <w:t>El marco de actuación estrategia distrital para la respuesta a emergencias de Bogotá y la normatividad presentada incluyen como entidades de ejecución y apoyo a los Bomberos Voluntarios de Bogotá, la Defensa Civil Seccional Bogotá y la Cruz Roja Colombiana Seccional Cundinamarca y Bogotá se presenta la necesidad de fortalecer estas entidades, buscando cumplir con los objetivos del sistema de gestión del riesgo de desastres y suplir las necesidades de búsqueda y rescate, extinción de incendios y evacuación asistida a la población de Bogotá. Reduciendo la vulnerabilidad de la población frente a amenazas tanto de origen natural como de origen antrópico las cuales ponen en riesgo los medios de vida, la estabilidad social - económica y la vida de los habitantes del Distrito Capital.</w:t>
      </w:r>
    </w:p>
    <w:p w14:paraId="421DAE41" w14:textId="77777777" w:rsidR="00F74433" w:rsidRDefault="00F74433">
      <w:pPr>
        <w:pStyle w:val="Default"/>
        <w:spacing w:line="276" w:lineRule="auto"/>
        <w:jc w:val="both"/>
        <w:rPr>
          <w:rFonts w:ascii="Arial" w:hAnsi="Arial" w:cs="Arial"/>
          <w:color w:val="000000" w:themeColor="text1"/>
        </w:rPr>
      </w:pPr>
    </w:p>
    <w:p w14:paraId="07B2B854" w14:textId="77777777" w:rsidR="00F74433" w:rsidRDefault="00A46230">
      <w:pPr>
        <w:pStyle w:val="Default"/>
        <w:spacing w:line="276" w:lineRule="auto"/>
        <w:jc w:val="both"/>
        <w:rPr>
          <w:rFonts w:ascii="Arial" w:hAnsi="Arial" w:cs="Arial"/>
        </w:rPr>
      </w:pPr>
      <w:r>
        <w:rPr>
          <w:rFonts w:ascii="Arial" w:hAnsi="Arial" w:cs="Arial"/>
          <w:color w:val="000000" w:themeColor="text1"/>
        </w:rPr>
        <w:t xml:space="preserve">A continuación, se incluyen cifras de voluntarios que desarrollan </w:t>
      </w:r>
      <w:r>
        <w:rPr>
          <w:rFonts w:ascii="Arial" w:hAnsi="Arial" w:cs="Arial"/>
        </w:rPr>
        <w:t>respuesta a emergencias de Bogotá para las 3 entidades:</w:t>
      </w:r>
    </w:p>
    <w:p w14:paraId="6E561148" w14:textId="77777777" w:rsidR="00F74433" w:rsidRDefault="00F74433">
      <w:pPr>
        <w:pStyle w:val="Default"/>
        <w:spacing w:line="276" w:lineRule="auto"/>
        <w:jc w:val="both"/>
        <w:rPr>
          <w:rFonts w:ascii="Arial" w:hAnsi="Arial" w:cs="Arial"/>
        </w:rPr>
      </w:pPr>
    </w:p>
    <w:p w14:paraId="76E1DBC8" w14:textId="77777777" w:rsidR="00F74433" w:rsidRDefault="00A46230">
      <w:pPr>
        <w:spacing w:line="276" w:lineRule="auto"/>
        <w:jc w:val="center"/>
        <w:rPr>
          <w:rFonts w:cs="Arial"/>
          <w:sz w:val="16"/>
          <w:szCs w:val="16"/>
        </w:rPr>
      </w:pPr>
      <w:r>
        <w:rPr>
          <w:rFonts w:cs="Arial"/>
          <w:noProof/>
          <w:szCs w:val="24"/>
          <w:lang w:val="es-CO" w:eastAsia="es-CO"/>
        </w:rPr>
        <w:drawing>
          <wp:inline distT="0" distB="0" distL="0" distR="0">
            <wp:extent cx="5581015" cy="1412875"/>
            <wp:effectExtent l="0" t="0" r="635" b="1587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1B985C3" w14:textId="77777777" w:rsidR="00F74433" w:rsidRDefault="00A46230">
      <w:pPr>
        <w:spacing w:line="276" w:lineRule="auto"/>
        <w:jc w:val="both"/>
        <w:rPr>
          <w:rFonts w:cs="Arial"/>
          <w:szCs w:val="24"/>
        </w:rPr>
      </w:pPr>
      <w:r>
        <w:rPr>
          <w:rFonts w:cs="Arial"/>
          <w:sz w:val="16"/>
          <w:szCs w:val="16"/>
        </w:rPr>
        <w:t>Fuente: Elaboración propia con cifras del IDIGER.</w:t>
      </w:r>
    </w:p>
    <w:p w14:paraId="554D584A" w14:textId="77777777" w:rsidR="00F74433" w:rsidRDefault="00A46230">
      <w:pPr>
        <w:pStyle w:val="Default"/>
        <w:spacing w:line="276" w:lineRule="auto"/>
        <w:jc w:val="both"/>
        <w:rPr>
          <w:rFonts w:ascii="Arial" w:hAnsi="Arial" w:cs="Arial"/>
          <w:color w:val="000000" w:themeColor="text1"/>
        </w:rPr>
      </w:pPr>
      <w:r>
        <w:rPr>
          <w:rFonts w:ascii="Arial" w:hAnsi="Arial" w:cs="Arial"/>
          <w:color w:val="000000" w:themeColor="text1"/>
        </w:rPr>
        <w:t xml:space="preserve">Por todo lo anterior, Bogotá D.C. debe seguir fortaleciendo su intervención en las emergencias y desastres de manera permanente y continua, </w:t>
      </w:r>
      <w:r>
        <w:rPr>
          <w:rFonts w:ascii="Arial" w:hAnsi="Arial" w:cs="Arial"/>
        </w:rPr>
        <w:t>los Bomberos Voluntarios de Bogotá, la Defensa Civil Seccional Bogotá y la Cruz Roja Colombiana Seccional Cundinamarca y Bogotá</w:t>
      </w:r>
      <w:r>
        <w:rPr>
          <w:rFonts w:ascii="Arial" w:hAnsi="Arial" w:cs="Arial"/>
          <w:color w:val="000000" w:themeColor="text1"/>
        </w:rPr>
        <w:t xml:space="preserve"> deben seguir cualificándose para que un trabajo grupal y colaborativo se desarrolle de mejor manera en cada rincón de la ciudad, sin excepción y así evitar mayores daños en la población, viviendas, infraestructura o medio ambiente. Estos esfuerzos aunados se reflejarán en la conformación y operación de grupos de intervención en gestión del riesgo idóneos, capacitados y equipados, fortaleciendo la capacidad de respuesta operativa (humana y equipos) de estas entidades.</w:t>
      </w:r>
    </w:p>
    <w:p w14:paraId="1340EF8B" w14:textId="77777777" w:rsidR="00F74433" w:rsidRDefault="00F74433">
      <w:pPr>
        <w:suppressAutoHyphens/>
        <w:spacing w:line="276" w:lineRule="auto"/>
        <w:jc w:val="both"/>
        <w:rPr>
          <w:bCs/>
          <w:szCs w:val="24"/>
        </w:rPr>
      </w:pPr>
    </w:p>
    <w:p w14:paraId="3D32671C" w14:textId="77777777" w:rsidR="00F74433" w:rsidRDefault="00F74433">
      <w:pPr>
        <w:suppressAutoHyphens/>
        <w:spacing w:line="276" w:lineRule="auto"/>
        <w:jc w:val="both"/>
        <w:rPr>
          <w:bCs/>
          <w:szCs w:val="24"/>
        </w:rPr>
      </w:pPr>
    </w:p>
    <w:p w14:paraId="51AA7F2D" w14:textId="77777777" w:rsidR="00F74433" w:rsidRDefault="00A46230">
      <w:pPr>
        <w:pStyle w:val="Prrafodelista"/>
        <w:numPr>
          <w:ilvl w:val="0"/>
          <w:numId w:val="1"/>
        </w:numPr>
        <w:suppressAutoHyphens/>
        <w:jc w:val="both"/>
        <w:rPr>
          <w:b/>
          <w:szCs w:val="24"/>
        </w:rPr>
      </w:pPr>
      <w:r>
        <w:rPr>
          <w:b/>
          <w:szCs w:val="24"/>
        </w:rPr>
        <w:t xml:space="preserve">IMPACTO FISCAL </w:t>
      </w:r>
    </w:p>
    <w:p w14:paraId="14DDD1AB" w14:textId="77777777" w:rsidR="00F74433" w:rsidRDefault="00F74433">
      <w:pPr>
        <w:suppressAutoHyphens/>
        <w:jc w:val="both"/>
        <w:rPr>
          <w:b/>
          <w:szCs w:val="24"/>
        </w:rPr>
      </w:pPr>
    </w:p>
    <w:p w14:paraId="1CC14B50" w14:textId="77777777" w:rsidR="00F74433" w:rsidRDefault="00A46230">
      <w:pPr>
        <w:pStyle w:val="Default"/>
        <w:spacing w:line="276" w:lineRule="auto"/>
        <w:jc w:val="both"/>
        <w:rPr>
          <w:rFonts w:ascii="Arial" w:hAnsi="Arial" w:cs="Arial"/>
          <w:sz w:val="20"/>
          <w:szCs w:val="20"/>
        </w:rPr>
      </w:pPr>
      <w:r>
        <w:rPr>
          <w:rFonts w:ascii="Arial" w:hAnsi="Arial" w:cs="Arial"/>
          <w:bCs/>
        </w:rPr>
        <w:t xml:space="preserve">De conformidad con lo establecido en el artículo 7° de la Ley 819 de 2003, </w:t>
      </w:r>
      <w:r>
        <w:rPr>
          <w:rFonts w:ascii="Arial" w:hAnsi="Arial" w:cs="Arial"/>
        </w:rPr>
        <w:t>la presente iniciativa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w:t>
      </w:r>
    </w:p>
    <w:p w14:paraId="3E730CC3" w14:textId="77777777" w:rsidR="00F74433" w:rsidRDefault="00F74433">
      <w:pPr>
        <w:suppressAutoHyphens/>
        <w:spacing w:line="276" w:lineRule="auto"/>
        <w:jc w:val="both"/>
        <w:rPr>
          <w:rFonts w:cs="Arial"/>
          <w:bCs/>
          <w:szCs w:val="24"/>
          <w:lang w:val="es-CO"/>
        </w:rPr>
      </w:pPr>
    </w:p>
    <w:p w14:paraId="5EBD605E" w14:textId="77777777" w:rsidR="00F74433" w:rsidRDefault="00A46230">
      <w:pPr>
        <w:suppressAutoHyphens/>
        <w:spacing w:line="276" w:lineRule="auto"/>
        <w:jc w:val="both"/>
        <w:rPr>
          <w:bCs/>
          <w:szCs w:val="24"/>
        </w:rPr>
      </w:pPr>
      <w:r>
        <w:rPr>
          <w:bCs/>
          <w:szCs w:val="24"/>
        </w:rPr>
        <w:t xml:space="preserve">Por otra parte, para este Proyecto de Acuerdo en particular, es importante el pronunciamiento de la Secretaría Distrital de Hacienda previo a su discusión con el fin de conocer el respectivo concepto de viabilidad que debe emitir como entidad asesora del Concejo de Bogotá según los dispuesto en el artículo 11, literal F del Decreto Distrital 601 de 2014, presentando las fuentes de recursos y gastos para su implementación, en el caso de que este genere impacto fiscal. Sin embargo, se evoca el contenido de la Sentencia C-911 de 2007 de la Corte Constitucional, en donde manifiesta que el impacto fiscal de las normas no puede convertirse en impedimento para que las corporaciones públicas ejerzan su función legislativa y normativa. Al respecto: </w:t>
      </w:r>
    </w:p>
    <w:p w14:paraId="2226D396" w14:textId="77777777" w:rsidR="00F74433" w:rsidRDefault="00F74433">
      <w:pPr>
        <w:suppressAutoHyphens/>
        <w:spacing w:line="276" w:lineRule="auto"/>
        <w:jc w:val="both"/>
        <w:rPr>
          <w:bCs/>
          <w:szCs w:val="24"/>
        </w:rPr>
      </w:pPr>
    </w:p>
    <w:p w14:paraId="468FE860" w14:textId="77777777" w:rsidR="00F74433" w:rsidRDefault="00A46230">
      <w:pPr>
        <w:suppressAutoHyphens/>
        <w:spacing w:line="276" w:lineRule="auto"/>
        <w:ind w:left="426"/>
        <w:jc w:val="both"/>
        <w:rPr>
          <w:bCs/>
          <w:i/>
          <w:iCs/>
          <w:sz w:val="22"/>
          <w:szCs w:val="22"/>
        </w:rPr>
      </w:pPr>
      <w:r>
        <w:rPr>
          <w:bCs/>
          <w:i/>
          <w:iCs/>
          <w:sz w:val="22"/>
          <w:szCs w:val="22"/>
        </w:rPr>
        <w:t>“Precisamente, los obstáculos casi insuperables que se generarían para la actividad legislativa del Congreso de la República conducirían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r>
        <w:rPr>
          <w:rStyle w:val="Refdenotaalpie"/>
          <w:bCs/>
          <w:i/>
          <w:iCs/>
          <w:sz w:val="22"/>
          <w:szCs w:val="22"/>
        </w:rPr>
        <w:footnoteReference w:id="4"/>
      </w:r>
      <w:r>
        <w:rPr>
          <w:bCs/>
          <w:i/>
          <w:iCs/>
          <w:sz w:val="22"/>
          <w:szCs w:val="22"/>
        </w:rPr>
        <w:t>.</w:t>
      </w:r>
    </w:p>
    <w:p w14:paraId="3B42FD46" w14:textId="77777777" w:rsidR="00F74433" w:rsidRDefault="00F74433">
      <w:pPr>
        <w:suppressAutoHyphens/>
        <w:jc w:val="both"/>
        <w:rPr>
          <w:b/>
          <w:szCs w:val="24"/>
        </w:rPr>
      </w:pPr>
    </w:p>
    <w:p w14:paraId="13FB48F7" w14:textId="77777777" w:rsidR="00F74433" w:rsidRDefault="00F74433">
      <w:pPr>
        <w:suppressAutoHyphens/>
        <w:jc w:val="both"/>
        <w:rPr>
          <w:b/>
          <w:szCs w:val="24"/>
        </w:rPr>
      </w:pPr>
    </w:p>
    <w:p w14:paraId="2A2AD9BD" w14:textId="77777777" w:rsidR="00F74433" w:rsidRDefault="00A46230">
      <w:pPr>
        <w:pStyle w:val="Prrafodelista"/>
        <w:numPr>
          <w:ilvl w:val="0"/>
          <w:numId w:val="1"/>
        </w:numPr>
        <w:rPr>
          <w:b/>
          <w:szCs w:val="24"/>
        </w:rPr>
      </w:pPr>
      <w:r>
        <w:rPr>
          <w:b/>
          <w:szCs w:val="24"/>
        </w:rPr>
        <w:t>TÍTULO – ATRIBUCIONES – CONSIDERANDOS</w:t>
      </w:r>
    </w:p>
    <w:p w14:paraId="48EFEF5E" w14:textId="77777777" w:rsidR="00F74433" w:rsidRDefault="00F74433">
      <w:pPr>
        <w:rPr>
          <w:b/>
          <w:sz w:val="22"/>
          <w:szCs w:val="22"/>
        </w:rPr>
      </w:pPr>
    </w:p>
    <w:p w14:paraId="37BEBC78" w14:textId="77777777" w:rsidR="00F74433" w:rsidRDefault="00A46230">
      <w:pPr>
        <w:jc w:val="center"/>
        <w:rPr>
          <w:rFonts w:cs="Arial"/>
          <w:szCs w:val="24"/>
        </w:rPr>
      </w:pPr>
      <w:r>
        <w:rPr>
          <w:rFonts w:cs="Arial"/>
          <w:szCs w:val="24"/>
        </w:rPr>
        <w:t>“POR EL CUAL SE</w:t>
      </w:r>
      <w:bookmarkStart w:id="1" w:name="_Hlk85028974"/>
      <w:r w:rsidR="005C504F">
        <w:rPr>
          <w:rFonts w:cs="Arial"/>
          <w:szCs w:val="24"/>
        </w:rPr>
        <w:t xml:space="preserve"> EFECTUA UNA </w:t>
      </w:r>
      <w:r w:rsidR="005C504F" w:rsidRPr="005C504F">
        <w:rPr>
          <w:rFonts w:cs="Arial"/>
          <w:szCs w:val="24"/>
        </w:rPr>
        <w:t>ADICIÓN</w:t>
      </w:r>
      <w:r w:rsidR="005C504F">
        <w:rPr>
          <w:rFonts w:cs="Arial"/>
          <w:szCs w:val="24"/>
        </w:rPr>
        <w:t xml:space="preserve"> PRESUPUESTAL</w:t>
      </w:r>
      <w:r>
        <w:rPr>
          <w:rFonts w:cs="Arial"/>
          <w:szCs w:val="24"/>
        </w:rPr>
        <w:t xml:space="preserve"> EN LA SUBCUENTA </w:t>
      </w:r>
      <w:r>
        <w:rPr>
          <w:rFonts w:cs="Arial"/>
        </w:rPr>
        <w:t>DE MANEJO DE EMERGENCIAS, CALAMIDADES Y/O DESASTRES DEL FONDIGER</w:t>
      </w:r>
      <w:r>
        <w:rPr>
          <w:rFonts w:cs="Arial"/>
          <w:szCs w:val="24"/>
        </w:rPr>
        <w:t xml:space="preserve"> </w:t>
      </w:r>
      <w:r>
        <w:rPr>
          <w:rFonts w:cs="Arial"/>
          <w:bCs/>
        </w:rPr>
        <w:t xml:space="preserve">PARA </w:t>
      </w:r>
      <w:r>
        <w:rPr>
          <w:rFonts w:cs="Arial"/>
          <w:szCs w:val="24"/>
        </w:rPr>
        <w:t>EL FORTALECIMIENTO DE LAS CAPACIDADES DE MANEJO EN EMERGENCIAS, CALAMIDADES Y/O DESASTRES</w:t>
      </w:r>
      <w:r>
        <w:rPr>
          <w:rFonts w:cs="Arial"/>
          <w:sz w:val="22"/>
          <w:szCs w:val="22"/>
        </w:rPr>
        <w:t xml:space="preserve"> </w:t>
      </w:r>
      <w:r>
        <w:rPr>
          <w:rFonts w:cs="Arial"/>
          <w:szCs w:val="24"/>
        </w:rPr>
        <w:t xml:space="preserve">DIRIGIDO A LOS </w:t>
      </w:r>
      <w:r>
        <w:rPr>
          <w:rFonts w:cs="Arial"/>
        </w:rPr>
        <w:t>GRUPOS DE LA DEFENSA CIVIL - SECCIONAL BOGOTÁ, CRUZ ROJA - SECCIONAL CUNDINAMARCA Y BOGOTÁ Y CUERPO DE BOMBEROS VOLUNTARIOS DE BOGOTÁ</w:t>
      </w:r>
      <w:bookmarkEnd w:id="1"/>
      <w:r>
        <w:rPr>
          <w:rFonts w:cs="Arial"/>
        </w:rPr>
        <w:t>”.</w:t>
      </w:r>
    </w:p>
    <w:p w14:paraId="2B5120D6" w14:textId="77777777" w:rsidR="00F74433" w:rsidRDefault="00F74433">
      <w:pPr>
        <w:pStyle w:val="Prrafodelista"/>
        <w:ind w:left="1080"/>
        <w:rPr>
          <w:b/>
          <w:szCs w:val="24"/>
        </w:rPr>
      </w:pPr>
    </w:p>
    <w:p w14:paraId="62657207" w14:textId="77777777" w:rsidR="00F74433" w:rsidRDefault="00F74433">
      <w:pPr>
        <w:suppressAutoHyphens/>
        <w:jc w:val="center"/>
        <w:rPr>
          <w:bCs/>
          <w:szCs w:val="24"/>
        </w:rPr>
      </w:pPr>
      <w:bookmarkStart w:id="2" w:name="_GoBack"/>
      <w:bookmarkEnd w:id="2"/>
    </w:p>
    <w:p w14:paraId="68D470E6" w14:textId="77777777" w:rsidR="00F74433" w:rsidRDefault="00A46230">
      <w:pPr>
        <w:suppressAutoHyphens/>
        <w:jc w:val="center"/>
        <w:rPr>
          <w:bCs/>
          <w:szCs w:val="24"/>
        </w:rPr>
      </w:pPr>
      <w:r>
        <w:rPr>
          <w:bCs/>
          <w:szCs w:val="24"/>
        </w:rPr>
        <w:t>EL CONCEJO DE BOGOTÁ D.C.,</w:t>
      </w:r>
    </w:p>
    <w:p w14:paraId="38FC1926" w14:textId="77777777" w:rsidR="00F74433" w:rsidRDefault="00F74433">
      <w:pPr>
        <w:suppressAutoHyphens/>
        <w:jc w:val="center"/>
        <w:rPr>
          <w:bCs/>
          <w:szCs w:val="24"/>
        </w:rPr>
      </w:pPr>
    </w:p>
    <w:p w14:paraId="3A5D885E" w14:textId="77777777" w:rsidR="00F74433" w:rsidRDefault="00A46230">
      <w:pPr>
        <w:suppressAutoHyphens/>
        <w:jc w:val="center"/>
        <w:rPr>
          <w:bCs/>
          <w:szCs w:val="24"/>
        </w:rPr>
      </w:pPr>
      <w:r>
        <w:rPr>
          <w:bCs/>
          <w:szCs w:val="24"/>
        </w:rPr>
        <w:t xml:space="preserve">En ejercicio de sus atribuciones constitucionales y legales, en especial las conferidas en los numerales 1° y 5° de la Constitución Política de Colombia y los numerales 1° y 4° del artículo 12 del Decreto Ley 1421 de 1993, </w:t>
      </w:r>
    </w:p>
    <w:p w14:paraId="31455584" w14:textId="77777777" w:rsidR="00F74433" w:rsidRDefault="00F74433">
      <w:pPr>
        <w:rPr>
          <w:b/>
          <w:szCs w:val="24"/>
        </w:rPr>
      </w:pPr>
    </w:p>
    <w:p w14:paraId="4BEE7AD9" w14:textId="77777777" w:rsidR="00F74433" w:rsidRDefault="00A46230">
      <w:pPr>
        <w:jc w:val="center"/>
        <w:rPr>
          <w:bCs/>
          <w:szCs w:val="24"/>
        </w:rPr>
      </w:pPr>
      <w:r>
        <w:rPr>
          <w:bCs/>
          <w:szCs w:val="24"/>
        </w:rPr>
        <w:t>ACUERDA</w:t>
      </w:r>
    </w:p>
    <w:p w14:paraId="16EBC521" w14:textId="77777777" w:rsidR="00F74433" w:rsidRDefault="00F74433">
      <w:pPr>
        <w:rPr>
          <w:bCs/>
          <w:szCs w:val="24"/>
        </w:rPr>
      </w:pPr>
    </w:p>
    <w:p w14:paraId="6DF644D9" w14:textId="77777777" w:rsidR="00F74433" w:rsidRDefault="00F74433">
      <w:pPr>
        <w:rPr>
          <w:bCs/>
          <w:szCs w:val="24"/>
        </w:rPr>
      </w:pPr>
    </w:p>
    <w:p w14:paraId="1BBC2C13" w14:textId="77777777" w:rsidR="00F74433" w:rsidRDefault="00A46230">
      <w:pPr>
        <w:pStyle w:val="Prrafodelista"/>
        <w:numPr>
          <w:ilvl w:val="0"/>
          <w:numId w:val="1"/>
        </w:numPr>
        <w:rPr>
          <w:b/>
          <w:szCs w:val="24"/>
        </w:rPr>
      </w:pPr>
      <w:r>
        <w:rPr>
          <w:b/>
          <w:szCs w:val="24"/>
        </w:rPr>
        <w:t xml:space="preserve">ARTICULADO </w:t>
      </w:r>
    </w:p>
    <w:p w14:paraId="1CF39678" w14:textId="77777777" w:rsidR="00F74433" w:rsidRDefault="00F74433">
      <w:pPr>
        <w:pStyle w:val="Prrafodelista"/>
        <w:ind w:left="1080"/>
        <w:rPr>
          <w:b/>
          <w:szCs w:val="24"/>
        </w:rPr>
      </w:pPr>
    </w:p>
    <w:p w14:paraId="47E02A99" w14:textId="77777777" w:rsidR="00F74433" w:rsidRDefault="00F74433">
      <w:pPr>
        <w:pStyle w:val="Prrafodelista"/>
        <w:ind w:left="1080"/>
        <w:rPr>
          <w:b/>
          <w:szCs w:val="24"/>
        </w:rPr>
      </w:pPr>
    </w:p>
    <w:p w14:paraId="7DCF017A" w14:textId="77777777" w:rsidR="00F74433" w:rsidRDefault="00A46230">
      <w:pPr>
        <w:pStyle w:val="Default"/>
        <w:jc w:val="both"/>
        <w:rPr>
          <w:rFonts w:ascii="Arial" w:hAnsi="Arial" w:cs="Arial"/>
          <w:b/>
          <w:bCs/>
        </w:rPr>
      </w:pPr>
      <w:r>
        <w:rPr>
          <w:rFonts w:ascii="Arial" w:hAnsi="Arial" w:cs="Arial"/>
          <w:b/>
          <w:bCs/>
        </w:rPr>
        <w:t xml:space="preserve">ARTÍCULO 1°. OBJETO. </w:t>
      </w:r>
      <w:r>
        <w:rPr>
          <w:rFonts w:ascii="Arial" w:hAnsi="Arial" w:cs="Arial"/>
        </w:rPr>
        <w:t xml:space="preserve">Adicionar un 0.05% suplementario del ingreso corriente de la Subcuenta de Manejo de Emergencias, Calamidades y/o Desastres del FONDIGER </w:t>
      </w:r>
      <w:r>
        <w:rPr>
          <w:rFonts w:ascii="Arial" w:hAnsi="Arial" w:cs="Arial"/>
          <w:bCs/>
        </w:rPr>
        <w:t xml:space="preserve">con destinación específica </w:t>
      </w:r>
      <w:r>
        <w:rPr>
          <w:rFonts w:ascii="Arial" w:hAnsi="Arial" w:cs="Arial"/>
        </w:rPr>
        <w:t>para el fortalecimiento de las capacidades de manejo en emergencias, calamidades y/o desastres</w:t>
      </w:r>
      <w:r>
        <w:rPr>
          <w:rFonts w:ascii="Arial" w:hAnsi="Arial" w:cs="Arial"/>
          <w:sz w:val="22"/>
          <w:szCs w:val="22"/>
        </w:rPr>
        <w:t xml:space="preserve"> </w:t>
      </w:r>
      <w:r>
        <w:rPr>
          <w:rFonts w:ascii="Arial" w:hAnsi="Arial" w:cs="Arial"/>
        </w:rPr>
        <w:t>dirigido a los grupos de la Defensa Civil - Seccional Bogotá, Cruz Roja - Seccional Cundinamarca y Bogotá y Cuerpo de Bomberos Voluntarios de Bogotá.</w:t>
      </w:r>
    </w:p>
    <w:p w14:paraId="0978939E" w14:textId="77777777" w:rsidR="00F74433" w:rsidRDefault="00F74433">
      <w:pPr>
        <w:pStyle w:val="Default"/>
        <w:jc w:val="both"/>
        <w:rPr>
          <w:rFonts w:ascii="Arial" w:hAnsi="Arial" w:cs="Arial"/>
          <w:b/>
          <w:bCs/>
        </w:rPr>
      </w:pPr>
    </w:p>
    <w:p w14:paraId="71C3D642" w14:textId="77777777" w:rsidR="00F74433" w:rsidRDefault="00A46230">
      <w:pPr>
        <w:pStyle w:val="Default"/>
        <w:jc w:val="both"/>
        <w:rPr>
          <w:rFonts w:ascii="Arial" w:hAnsi="Arial" w:cs="Arial"/>
          <w:bCs/>
        </w:rPr>
      </w:pPr>
      <w:r>
        <w:rPr>
          <w:rFonts w:ascii="Arial" w:hAnsi="Arial" w:cs="Arial"/>
        </w:rPr>
        <w:t xml:space="preserve">Lo anterior con el fin de cumplir con las metas establecidas en el Plan Distrital de Gestión del Riesgo de Desastres 2018 – 2030 y las funciones de respuesta establecidas en la Estrategia Distrital de Respuesta a Emergencias – Marco de Actuación, adoptados en el Decreto 837 de 28 de diciembre de 2018 y el que lo modifique o sustituya. </w:t>
      </w:r>
    </w:p>
    <w:p w14:paraId="00FF9538" w14:textId="77777777" w:rsidR="00F74433" w:rsidRDefault="00F74433">
      <w:pPr>
        <w:pStyle w:val="Default"/>
        <w:jc w:val="both"/>
        <w:rPr>
          <w:rFonts w:ascii="Arial" w:hAnsi="Arial" w:cs="Arial"/>
          <w:bCs/>
        </w:rPr>
      </w:pPr>
    </w:p>
    <w:p w14:paraId="680C46E7" w14:textId="77777777" w:rsidR="00F74433" w:rsidRPr="00F714F4" w:rsidRDefault="00A46230">
      <w:pPr>
        <w:pStyle w:val="Default"/>
        <w:jc w:val="both"/>
        <w:rPr>
          <w:rFonts w:ascii="Arial" w:hAnsi="Arial" w:cs="Arial"/>
          <w:bCs/>
        </w:rPr>
      </w:pPr>
      <w:r>
        <w:rPr>
          <w:rFonts w:ascii="Arial" w:hAnsi="Arial" w:cs="Arial"/>
          <w:b/>
        </w:rPr>
        <w:t xml:space="preserve">ARTÍCULO 2°. DISTRIBUCIÓN. </w:t>
      </w:r>
      <w:r w:rsidR="00F714F4">
        <w:rPr>
          <w:rFonts w:ascii="Arial" w:hAnsi="Arial" w:cs="Arial"/>
          <w:b/>
          <w:bCs/>
          <w:sz w:val="22"/>
          <w:szCs w:val="22"/>
        </w:rPr>
        <w:t>DISTRIBUCIÓN.</w:t>
      </w:r>
      <w:r w:rsidR="00F714F4" w:rsidRPr="00F714F4">
        <w:rPr>
          <w:rFonts w:ascii="Arial" w:hAnsi="Arial" w:cs="Arial"/>
          <w:bCs/>
          <w:sz w:val="22"/>
          <w:szCs w:val="22"/>
        </w:rPr>
        <w:t xml:space="preserve"> </w:t>
      </w:r>
      <w:r w:rsidR="00F714F4" w:rsidRPr="00F714F4">
        <w:rPr>
          <w:rFonts w:ascii="Arial" w:hAnsi="Arial" w:cs="Arial"/>
          <w:bCs/>
          <w:color w:val="auto"/>
          <w:sz w:val="22"/>
          <w:szCs w:val="22"/>
        </w:rPr>
        <w:t>La Junta Directiva del Fondo Distrital para la Gestión de Riesgos y cambio Climático –FONDIGER, distribuirá y asignará los recursos de la adición de que trata el artículo 1º del presente Acuerdo</w:t>
      </w:r>
      <w:r w:rsidR="00F714F4" w:rsidRPr="00F714F4">
        <w:rPr>
          <w:rFonts w:ascii="Arial" w:hAnsi="Arial" w:cs="Arial"/>
          <w:color w:val="auto"/>
          <w:sz w:val="22"/>
          <w:szCs w:val="22"/>
        </w:rPr>
        <w:t xml:space="preserve"> para los grupos de la defensa civil colombiana - seccional Bogotá, cruz roja - seccional Cundinamarca y Bogotá y cuerpo de bomberos voluntarios de Bogotá.</w:t>
      </w:r>
    </w:p>
    <w:p w14:paraId="3A0909A6" w14:textId="77777777" w:rsidR="00F74433" w:rsidRDefault="00F74433">
      <w:pPr>
        <w:pStyle w:val="Default"/>
        <w:jc w:val="both"/>
        <w:rPr>
          <w:rFonts w:ascii="Arial" w:hAnsi="Arial" w:cs="Arial"/>
          <w:bCs/>
        </w:rPr>
      </w:pPr>
    </w:p>
    <w:p w14:paraId="07C402AB" w14:textId="77777777" w:rsidR="00F74433" w:rsidRDefault="00A46230">
      <w:pPr>
        <w:pStyle w:val="Default"/>
        <w:jc w:val="both"/>
        <w:rPr>
          <w:rFonts w:ascii="Arial" w:hAnsi="Arial" w:cs="Arial"/>
          <w:bCs/>
        </w:rPr>
      </w:pPr>
      <w:r>
        <w:rPr>
          <w:rFonts w:ascii="Arial" w:hAnsi="Arial" w:cs="Arial"/>
          <w:b/>
        </w:rPr>
        <w:t xml:space="preserve">ARTÍCULO 3°. REGLAMENTACIÓN. </w:t>
      </w:r>
      <w:r>
        <w:rPr>
          <w:rFonts w:ascii="Arial" w:hAnsi="Arial" w:cs="Arial"/>
          <w:bCs/>
        </w:rPr>
        <w:t xml:space="preserve">De conformidad con el parágrafo del Artículo 15 del Acuerdo Distrital 546 de 2013, la Junta Directiva del Fondo Distrital para la Gestión de Riesgos y Cambio Climático de Bogotá, D.C., establecerá y reglamentará lo dispuesto en el presente Acuerdo en un plazo de tres (3) meses a partir de la entrada en vigencia del mismo.  </w:t>
      </w:r>
    </w:p>
    <w:p w14:paraId="05A71A0A" w14:textId="77777777" w:rsidR="00F74433" w:rsidRDefault="00F74433">
      <w:pPr>
        <w:pStyle w:val="Default"/>
        <w:jc w:val="both"/>
        <w:rPr>
          <w:rFonts w:ascii="Arial" w:hAnsi="Arial" w:cs="Arial"/>
          <w:bCs/>
        </w:rPr>
      </w:pPr>
    </w:p>
    <w:p w14:paraId="769EA2C8" w14:textId="77777777" w:rsidR="00F74433" w:rsidRDefault="00A46230">
      <w:pPr>
        <w:jc w:val="both"/>
        <w:rPr>
          <w:rFonts w:cs="Arial"/>
          <w:bCs/>
        </w:rPr>
      </w:pPr>
      <w:r>
        <w:rPr>
          <w:rFonts w:cs="Arial"/>
          <w:b/>
          <w:szCs w:val="24"/>
        </w:rPr>
        <w:t xml:space="preserve">ARTÍCULO 4°. VIGENCIA. </w:t>
      </w:r>
      <w:r>
        <w:rPr>
          <w:rFonts w:cs="Arial"/>
          <w:bCs/>
          <w:szCs w:val="24"/>
        </w:rPr>
        <w:t xml:space="preserve">El presente acuerdo rige a partir de la fecha de su publicación. </w:t>
      </w:r>
    </w:p>
    <w:p w14:paraId="3ED7D8DA" w14:textId="77777777" w:rsidR="00F74433" w:rsidRDefault="00F74433">
      <w:pPr>
        <w:pStyle w:val="Default"/>
        <w:jc w:val="both"/>
        <w:rPr>
          <w:rFonts w:ascii="Arial" w:hAnsi="Arial" w:cs="Arial"/>
          <w:bCs/>
        </w:rPr>
      </w:pPr>
    </w:p>
    <w:p w14:paraId="79A70952" w14:textId="77777777" w:rsidR="00F74433" w:rsidRDefault="00A46230">
      <w:pPr>
        <w:jc w:val="center"/>
        <w:rPr>
          <w:rFonts w:cs="Arial"/>
          <w:b/>
          <w:bCs/>
          <w:szCs w:val="24"/>
          <w:lang w:eastAsia="es-CO"/>
        </w:rPr>
      </w:pPr>
      <w:r>
        <w:rPr>
          <w:rFonts w:cs="Arial"/>
          <w:b/>
          <w:bCs/>
          <w:szCs w:val="24"/>
          <w:lang w:eastAsia="es-CO"/>
        </w:rPr>
        <w:t>PUBLÍQUESE Y CÚMPLASE</w:t>
      </w:r>
    </w:p>
    <w:p w14:paraId="181D7EBC" w14:textId="77777777" w:rsidR="00F74433" w:rsidRDefault="00F74433">
      <w:pPr>
        <w:jc w:val="center"/>
        <w:rPr>
          <w:rFonts w:cs="Arial"/>
          <w:b/>
          <w:bCs/>
          <w:szCs w:val="24"/>
          <w:lang w:eastAsia="es-CO"/>
        </w:rPr>
      </w:pPr>
    </w:p>
    <w:p w14:paraId="3E93B429" w14:textId="77777777" w:rsidR="00F74433" w:rsidRDefault="00F74433">
      <w:pPr>
        <w:jc w:val="both"/>
        <w:rPr>
          <w:bCs/>
          <w:szCs w:val="24"/>
        </w:rPr>
      </w:pPr>
      <w:bookmarkStart w:id="3" w:name="_Hlk42333061"/>
    </w:p>
    <w:p w14:paraId="437355C5" w14:textId="77777777" w:rsidR="00F74433" w:rsidRDefault="00A46230">
      <w:pPr>
        <w:jc w:val="center"/>
        <w:rPr>
          <w:bCs/>
          <w:sz w:val="22"/>
          <w:szCs w:val="22"/>
        </w:rPr>
      </w:pPr>
      <w:r>
        <w:rPr>
          <w:bCs/>
          <w:szCs w:val="24"/>
        </w:rPr>
        <w:t>Dado en Bogotá, D.C., a los______ días del mes de ________de _______</w:t>
      </w:r>
      <w:bookmarkEnd w:id="3"/>
    </w:p>
    <w:p w14:paraId="3AAE4E58" w14:textId="77777777" w:rsidR="00F74433" w:rsidRDefault="00F74433">
      <w:pPr>
        <w:rPr>
          <w:b/>
          <w:szCs w:val="24"/>
        </w:rPr>
      </w:pPr>
    </w:p>
    <w:p w14:paraId="4C004F66" w14:textId="77777777" w:rsidR="00F74433" w:rsidRDefault="00F74433">
      <w:pPr>
        <w:rPr>
          <w:b/>
          <w:szCs w:val="24"/>
        </w:rPr>
      </w:pPr>
    </w:p>
    <w:p w14:paraId="42F2D632" w14:textId="77777777" w:rsidR="00F74433" w:rsidRDefault="00A46230">
      <w:pPr>
        <w:rPr>
          <w:b/>
          <w:szCs w:val="24"/>
        </w:rPr>
      </w:pPr>
      <w:r>
        <w:rPr>
          <w:b/>
          <w:szCs w:val="24"/>
        </w:rPr>
        <w:t xml:space="preserve">AUTOR: </w:t>
      </w:r>
    </w:p>
    <w:p w14:paraId="79100358" w14:textId="77777777" w:rsidR="00F74433" w:rsidRDefault="00F74433">
      <w:pPr>
        <w:rPr>
          <w:b/>
          <w:szCs w:val="24"/>
        </w:rPr>
      </w:pPr>
    </w:p>
    <w:p w14:paraId="765D363C" w14:textId="77777777" w:rsidR="00F74433" w:rsidRDefault="00F74433">
      <w:pPr>
        <w:rPr>
          <w:b/>
          <w:szCs w:val="24"/>
        </w:rPr>
      </w:pPr>
    </w:p>
    <w:p w14:paraId="70F691F5" w14:textId="77777777" w:rsidR="00F74433" w:rsidRDefault="00F74433">
      <w:pPr>
        <w:rPr>
          <w:b/>
          <w:szCs w:val="24"/>
        </w:rPr>
      </w:pPr>
    </w:p>
    <w:p w14:paraId="3E4A4F14" w14:textId="77777777" w:rsidR="00F74433" w:rsidRDefault="00F74433">
      <w:pPr>
        <w:rPr>
          <w:b/>
          <w:szCs w:val="24"/>
        </w:rPr>
      </w:pPr>
    </w:p>
    <w:p w14:paraId="43C87B78" w14:textId="77777777" w:rsidR="00F74433" w:rsidRDefault="00A46230">
      <w:pPr>
        <w:rPr>
          <w:b/>
          <w:szCs w:val="24"/>
        </w:rPr>
      </w:pPr>
      <w:r>
        <w:rPr>
          <w:b/>
          <w:szCs w:val="24"/>
        </w:rPr>
        <w:t xml:space="preserve">SAMIR JOSÉ ABISAMBRA VESGA </w:t>
      </w:r>
    </w:p>
    <w:p w14:paraId="7D359630" w14:textId="77777777" w:rsidR="00F74433" w:rsidRDefault="00A46230">
      <w:pPr>
        <w:rPr>
          <w:bCs/>
          <w:szCs w:val="24"/>
        </w:rPr>
      </w:pPr>
      <w:r>
        <w:rPr>
          <w:bCs/>
          <w:szCs w:val="24"/>
        </w:rPr>
        <w:t>Concejal de Bogotá</w:t>
      </w:r>
    </w:p>
    <w:p w14:paraId="0BCFA959" w14:textId="77777777" w:rsidR="00F74433" w:rsidRDefault="00A46230">
      <w:pPr>
        <w:rPr>
          <w:bCs/>
          <w:szCs w:val="24"/>
        </w:rPr>
      </w:pPr>
      <w:r>
        <w:rPr>
          <w:bCs/>
          <w:szCs w:val="24"/>
        </w:rPr>
        <w:t>Partido Liberal Colombiano</w:t>
      </w:r>
    </w:p>
    <w:p w14:paraId="38A08330" w14:textId="77777777" w:rsidR="00F74433" w:rsidRDefault="00F74433">
      <w:pPr>
        <w:suppressAutoHyphens/>
        <w:spacing w:line="276" w:lineRule="auto"/>
        <w:jc w:val="both"/>
        <w:rPr>
          <w:b/>
          <w:szCs w:val="24"/>
        </w:rPr>
      </w:pPr>
    </w:p>
    <w:p w14:paraId="00D5A9B3" w14:textId="77777777" w:rsidR="00F74433" w:rsidRDefault="00F74433">
      <w:pPr>
        <w:suppressAutoHyphens/>
        <w:spacing w:line="276" w:lineRule="auto"/>
        <w:jc w:val="both"/>
        <w:rPr>
          <w:b/>
          <w:szCs w:val="24"/>
        </w:rPr>
      </w:pPr>
    </w:p>
    <w:p w14:paraId="1FDBE2AA" w14:textId="77777777" w:rsidR="00F74433" w:rsidRDefault="00F74433">
      <w:pPr>
        <w:suppressAutoHyphens/>
        <w:spacing w:line="276" w:lineRule="auto"/>
        <w:jc w:val="both"/>
        <w:rPr>
          <w:b/>
          <w:szCs w:val="24"/>
        </w:rPr>
      </w:pPr>
    </w:p>
    <w:p w14:paraId="519354CC" w14:textId="77777777" w:rsidR="00F74433" w:rsidRDefault="00F74433">
      <w:pPr>
        <w:pStyle w:val="Textonotapie"/>
        <w:jc w:val="both"/>
        <w:rPr>
          <w:sz w:val="16"/>
          <w:szCs w:val="16"/>
        </w:rPr>
      </w:pPr>
    </w:p>
    <w:p w14:paraId="1C28EE91" w14:textId="77777777" w:rsidR="00F74433" w:rsidRDefault="00F74433">
      <w:pPr>
        <w:rPr>
          <w:bCs/>
          <w:szCs w:val="24"/>
        </w:rPr>
      </w:pPr>
    </w:p>
    <w:sectPr w:rsidR="00F74433">
      <w:headerReference w:type="default" r:id="rId10"/>
      <w:footerReference w:type="even" r:id="rId11"/>
      <w:footerReference w:type="default" r:id="rId12"/>
      <w:pgSz w:w="12242" w:h="15842"/>
      <w:pgMar w:top="1418" w:right="1418" w:bottom="1418" w:left="1418"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49848" w14:textId="77777777" w:rsidR="00AA0F0C" w:rsidRDefault="00AA0F0C">
      <w:r>
        <w:separator/>
      </w:r>
    </w:p>
  </w:endnote>
  <w:endnote w:type="continuationSeparator" w:id="0">
    <w:p w14:paraId="24A2C54B" w14:textId="77777777" w:rsidR="00AA0F0C" w:rsidRDefault="00AA0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55CD9" w14:textId="77777777" w:rsidR="00F74433" w:rsidRDefault="00A462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1</w:t>
    </w:r>
    <w:r>
      <w:rPr>
        <w:rStyle w:val="Nmerodepgina"/>
      </w:rPr>
      <w:fldChar w:fldCharType="end"/>
    </w:r>
  </w:p>
  <w:p w14:paraId="1BF7E067" w14:textId="77777777" w:rsidR="00F74433" w:rsidRDefault="00F7443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431138"/>
    </w:sdtPr>
    <w:sdtEndPr/>
    <w:sdtContent>
      <w:p w14:paraId="3A1E7E16" w14:textId="2D3D1153" w:rsidR="00F74433" w:rsidRDefault="00A46230">
        <w:pPr>
          <w:pStyle w:val="Piedepgina"/>
          <w:jc w:val="right"/>
        </w:pPr>
        <w:r>
          <w:fldChar w:fldCharType="begin"/>
        </w:r>
        <w:r>
          <w:instrText>PAGE   \* MERGEFORMAT</w:instrText>
        </w:r>
        <w:r>
          <w:fldChar w:fldCharType="separate"/>
        </w:r>
        <w:r w:rsidR="00776F07">
          <w:rPr>
            <w:noProof/>
          </w:rPr>
          <w:t>13</w:t>
        </w:r>
        <w:r>
          <w:fldChar w:fldCharType="end"/>
        </w:r>
      </w:p>
    </w:sdtContent>
  </w:sdt>
  <w:p w14:paraId="3ED7D5A7" w14:textId="77777777" w:rsidR="00F74433" w:rsidRDefault="00F74433">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C4254" w14:textId="77777777" w:rsidR="00AA0F0C" w:rsidRDefault="00AA0F0C">
      <w:r>
        <w:separator/>
      </w:r>
    </w:p>
  </w:footnote>
  <w:footnote w:type="continuationSeparator" w:id="0">
    <w:p w14:paraId="31F9887A" w14:textId="77777777" w:rsidR="00AA0F0C" w:rsidRDefault="00AA0F0C">
      <w:r>
        <w:continuationSeparator/>
      </w:r>
    </w:p>
  </w:footnote>
  <w:footnote w:id="1">
    <w:p w14:paraId="4CF582D1" w14:textId="77777777" w:rsidR="00F74433" w:rsidRDefault="00A46230">
      <w:pPr>
        <w:pStyle w:val="Textonotapie"/>
        <w:jc w:val="both"/>
        <w:rPr>
          <w:sz w:val="16"/>
          <w:szCs w:val="16"/>
        </w:rPr>
      </w:pPr>
      <w:r>
        <w:rPr>
          <w:rStyle w:val="Refdenotaalpie"/>
          <w:sz w:val="16"/>
          <w:szCs w:val="16"/>
        </w:rPr>
        <w:footnoteRef/>
      </w:r>
      <w:r>
        <w:rPr>
          <w:sz w:val="16"/>
          <w:szCs w:val="16"/>
        </w:rPr>
        <w:t xml:space="preserve"> Informe Ejecutivo (2021). Contrato Interadministrativo UAECOB - UNAL 0698/020. Desarrollo de los modelos matemáticos necesarios para la elaboración de la estrategia institucional de preparativos del Cuerpo de Bomberos de Bogotá ante un evento sísmico de gran magnito en Bogotá. Bogotá, Colombia.</w:t>
      </w:r>
    </w:p>
  </w:footnote>
  <w:footnote w:id="2">
    <w:p w14:paraId="01A8653F" w14:textId="77777777" w:rsidR="00F74433" w:rsidRDefault="00A46230">
      <w:pPr>
        <w:pStyle w:val="Textonotapie"/>
        <w:rPr>
          <w:sz w:val="16"/>
          <w:szCs w:val="16"/>
          <w:lang w:val="es-CO"/>
        </w:rPr>
      </w:pPr>
      <w:r>
        <w:rPr>
          <w:rStyle w:val="Refdenotaalpie"/>
          <w:sz w:val="16"/>
          <w:szCs w:val="16"/>
        </w:rPr>
        <w:footnoteRef/>
      </w:r>
      <w:r>
        <w:rPr>
          <w:sz w:val="16"/>
          <w:szCs w:val="16"/>
          <w:lang w:val="es-CO"/>
        </w:rPr>
        <w:t xml:space="preserve"> </w:t>
      </w:r>
      <w:r>
        <w:rPr>
          <w:sz w:val="16"/>
          <w:szCs w:val="16"/>
        </w:rPr>
        <w:t>National Fire Protection Association.</w:t>
      </w:r>
    </w:p>
  </w:footnote>
  <w:footnote w:id="3">
    <w:p w14:paraId="3440C2C8" w14:textId="77777777" w:rsidR="00F74433" w:rsidRDefault="00A46230">
      <w:pPr>
        <w:pStyle w:val="Textonotapie"/>
        <w:jc w:val="both"/>
        <w:rPr>
          <w:sz w:val="16"/>
          <w:szCs w:val="16"/>
          <w:lang w:val="es-CO"/>
        </w:rPr>
      </w:pPr>
      <w:r>
        <w:rPr>
          <w:rStyle w:val="Refdenotaalpie"/>
          <w:sz w:val="16"/>
          <w:szCs w:val="16"/>
        </w:rPr>
        <w:footnoteRef/>
      </w:r>
      <w:r>
        <w:rPr>
          <w:sz w:val="16"/>
          <w:szCs w:val="16"/>
          <w:lang w:val="es-CO"/>
        </w:rPr>
        <w:t xml:space="preserve"> INSTITUTO DISTRITAL DE GESTIÓN DE RIESGOS Y CAMBIO CLIMÁTICO – IDIGER. Modelación del riesgo sísmico en edificaciones para la ciudad de Bogotá Versión 2018 SISMARB. Disponible en Internet: &lt;https://www.idiger.gov.co/documents/20182/417348/PRESENTACION&gt;</w:t>
      </w:r>
    </w:p>
  </w:footnote>
  <w:footnote w:id="4">
    <w:p w14:paraId="337D4288" w14:textId="77777777" w:rsidR="00F74433" w:rsidRDefault="00A46230">
      <w:pPr>
        <w:pStyle w:val="Textonotapie"/>
        <w:jc w:val="both"/>
        <w:rPr>
          <w:bCs/>
          <w:sz w:val="16"/>
          <w:szCs w:val="16"/>
          <w:lang w:val="es-CO"/>
        </w:rPr>
      </w:pPr>
      <w:r>
        <w:rPr>
          <w:rStyle w:val="Refdenotaalpie"/>
          <w:sz w:val="16"/>
          <w:szCs w:val="16"/>
        </w:rPr>
        <w:footnoteRef/>
      </w:r>
      <w:r>
        <w:rPr>
          <w:sz w:val="16"/>
          <w:szCs w:val="16"/>
          <w:lang w:val="es-CO"/>
        </w:rPr>
        <w:t xml:space="preserve"> COLOMBIA. CORTE CONSTITUCIONAL. </w:t>
      </w:r>
      <w:r>
        <w:rPr>
          <w:bCs/>
          <w:sz w:val="16"/>
          <w:szCs w:val="16"/>
          <w:lang w:val="es-CO"/>
        </w:rPr>
        <w:t>Sentencia C-911. (31, octubre, 2007).  Magistrado Ponente: Dr. Jaime Araújo Rentería.</w:t>
      </w:r>
      <w:r>
        <w:rPr>
          <w:lang w:val="es-CO"/>
        </w:rPr>
        <w:t xml:space="preserve"> </w:t>
      </w:r>
      <w:r>
        <w:rPr>
          <w:sz w:val="16"/>
          <w:szCs w:val="16"/>
          <w:lang w:val="es-CO"/>
        </w:rPr>
        <w:t>Disponible en Internet: &lt;</w:t>
      </w:r>
      <w:r>
        <w:rPr>
          <w:bCs/>
          <w:sz w:val="16"/>
          <w:szCs w:val="16"/>
          <w:lang w:val="es-CO"/>
        </w:rPr>
        <w:t>https://www.corteconstitucional.gov.co/relatoria/2007/C-911-07.htm&gt;</w:t>
      </w:r>
    </w:p>
    <w:p w14:paraId="676E3282" w14:textId="77777777" w:rsidR="00F74433" w:rsidRDefault="00F74433">
      <w:pPr>
        <w:pStyle w:val="Textonotapie"/>
        <w:rPr>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4A0" w:firstRow="1" w:lastRow="0" w:firstColumn="1" w:lastColumn="0" w:noHBand="0" w:noVBand="1"/>
    </w:tblPr>
    <w:tblGrid>
      <w:gridCol w:w="2513"/>
      <w:gridCol w:w="4506"/>
      <w:gridCol w:w="2377"/>
    </w:tblGrid>
    <w:tr w:rsidR="00F74433" w14:paraId="208E1DF2" w14:textId="77777777">
      <w:trPr>
        <w:trHeight w:val="454"/>
      </w:trPr>
      <w:tc>
        <w:tcPr>
          <w:tcW w:w="1337" w:type="pct"/>
          <w:vMerge w:val="restart"/>
          <w:tcBorders>
            <w:top w:val="single" w:sz="4" w:space="0" w:color="auto"/>
            <w:left w:val="single" w:sz="4" w:space="0" w:color="auto"/>
            <w:right w:val="single" w:sz="4" w:space="0" w:color="auto"/>
          </w:tcBorders>
          <w:vAlign w:val="center"/>
        </w:tcPr>
        <w:p w14:paraId="4243BF42" w14:textId="77777777" w:rsidR="00F74433" w:rsidRDefault="00F74433">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3C0D290F" w14:textId="77777777" w:rsidR="00F74433" w:rsidRDefault="00A46230">
          <w:pPr>
            <w:jc w:val="center"/>
            <w:rPr>
              <w:rFonts w:cs="Arial"/>
              <w:sz w:val="18"/>
              <w:szCs w:val="18"/>
            </w:rPr>
          </w:pPr>
          <w:r>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5FECF55F" w14:textId="77777777" w:rsidR="00F74433" w:rsidRDefault="00A46230">
          <w:pPr>
            <w:rPr>
              <w:rFonts w:cs="Arial"/>
              <w:sz w:val="16"/>
              <w:szCs w:val="16"/>
            </w:rPr>
          </w:pPr>
          <w:r>
            <w:rPr>
              <w:rFonts w:cs="Arial"/>
              <w:sz w:val="16"/>
              <w:szCs w:val="16"/>
            </w:rPr>
            <w:t>CÓDIGO</w:t>
          </w:r>
          <w:r>
            <w:rPr>
              <w:rFonts w:cs="Arial"/>
              <w:color w:val="3366FF"/>
              <w:sz w:val="16"/>
              <w:szCs w:val="16"/>
            </w:rPr>
            <w:t xml:space="preserve">: </w:t>
          </w:r>
          <w:r>
            <w:rPr>
              <w:rFonts w:cs="Arial"/>
              <w:sz w:val="16"/>
              <w:szCs w:val="16"/>
            </w:rPr>
            <w:t>GNV-FO-001</w:t>
          </w:r>
        </w:p>
      </w:tc>
    </w:tr>
    <w:tr w:rsidR="00F74433" w14:paraId="2F449DA6" w14:textId="77777777">
      <w:trPr>
        <w:trHeight w:val="454"/>
      </w:trPr>
      <w:tc>
        <w:tcPr>
          <w:tcW w:w="1337" w:type="pct"/>
          <w:vMerge/>
          <w:tcBorders>
            <w:left w:val="single" w:sz="4" w:space="0" w:color="auto"/>
            <w:right w:val="single" w:sz="4" w:space="0" w:color="auto"/>
          </w:tcBorders>
          <w:vAlign w:val="center"/>
        </w:tcPr>
        <w:p w14:paraId="071F9DFE" w14:textId="77777777" w:rsidR="00F74433" w:rsidRDefault="00F74433">
          <w:pPr>
            <w:rPr>
              <w:rFonts w:cs="Arial"/>
              <w:sz w:val="16"/>
              <w:szCs w:val="16"/>
            </w:rPr>
          </w:pPr>
        </w:p>
      </w:tc>
      <w:tc>
        <w:tcPr>
          <w:tcW w:w="2398" w:type="pct"/>
          <w:vMerge w:val="restart"/>
          <w:tcBorders>
            <w:top w:val="single" w:sz="4" w:space="0" w:color="auto"/>
            <w:left w:val="nil"/>
            <w:right w:val="single" w:sz="4" w:space="0" w:color="auto"/>
          </w:tcBorders>
          <w:vAlign w:val="center"/>
        </w:tcPr>
        <w:p w14:paraId="62FCBAEA" w14:textId="77777777" w:rsidR="00F74433" w:rsidRDefault="00A46230">
          <w:pPr>
            <w:jc w:val="center"/>
            <w:rPr>
              <w:rFonts w:cs="Arial"/>
              <w:sz w:val="20"/>
            </w:rPr>
          </w:pPr>
          <w:r>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149B9234" w14:textId="77777777" w:rsidR="00F74433" w:rsidRDefault="00A46230">
          <w:pPr>
            <w:rPr>
              <w:rFonts w:cs="Arial"/>
              <w:sz w:val="16"/>
              <w:szCs w:val="16"/>
            </w:rPr>
          </w:pPr>
          <w:r>
            <w:rPr>
              <w:rFonts w:cs="Arial"/>
              <w:sz w:val="16"/>
              <w:szCs w:val="16"/>
            </w:rPr>
            <w:t>VERSIÓN:    02</w:t>
          </w:r>
        </w:p>
      </w:tc>
    </w:tr>
    <w:tr w:rsidR="00F74433" w14:paraId="2F57422F" w14:textId="77777777">
      <w:trPr>
        <w:trHeight w:val="454"/>
      </w:trPr>
      <w:tc>
        <w:tcPr>
          <w:tcW w:w="1337" w:type="pct"/>
          <w:vMerge/>
          <w:tcBorders>
            <w:left w:val="single" w:sz="4" w:space="0" w:color="auto"/>
            <w:bottom w:val="single" w:sz="4" w:space="0" w:color="auto"/>
            <w:right w:val="single" w:sz="4" w:space="0" w:color="auto"/>
          </w:tcBorders>
          <w:vAlign w:val="center"/>
        </w:tcPr>
        <w:p w14:paraId="7660AB17" w14:textId="77777777" w:rsidR="00F74433" w:rsidRDefault="00F74433">
          <w:pPr>
            <w:rPr>
              <w:rFonts w:cs="Arial"/>
              <w:sz w:val="16"/>
              <w:szCs w:val="16"/>
            </w:rPr>
          </w:pPr>
        </w:p>
      </w:tc>
      <w:tc>
        <w:tcPr>
          <w:tcW w:w="2398" w:type="pct"/>
          <w:vMerge/>
          <w:tcBorders>
            <w:left w:val="nil"/>
            <w:bottom w:val="single" w:sz="4" w:space="0" w:color="auto"/>
            <w:right w:val="single" w:sz="4" w:space="0" w:color="auto"/>
          </w:tcBorders>
          <w:vAlign w:val="center"/>
        </w:tcPr>
        <w:p w14:paraId="75907DA0" w14:textId="77777777" w:rsidR="00F74433" w:rsidRDefault="00F74433">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43304F19" w14:textId="77777777" w:rsidR="00F74433" w:rsidRDefault="00A46230">
          <w:pPr>
            <w:rPr>
              <w:rFonts w:cs="Arial"/>
              <w:sz w:val="16"/>
              <w:szCs w:val="16"/>
            </w:rPr>
          </w:pPr>
          <w:r>
            <w:rPr>
              <w:rFonts w:cs="Arial"/>
              <w:sz w:val="16"/>
              <w:szCs w:val="16"/>
            </w:rPr>
            <w:t>FECHA: 14-Nov-2019</w:t>
          </w:r>
        </w:p>
      </w:tc>
    </w:tr>
  </w:tbl>
  <w:p w14:paraId="4192BF38" w14:textId="77777777" w:rsidR="00F74433" w:rsidRDefault="00A46230">
    <w:pPr>
      <w:pStyle w:val="Encabezado"/>
    </w:pPr>
    <w:r>
      <w:rPr>
        <w:noProof/>
        <w:lang w:val="es-CO" w:eastAsia="es-CO"/>
      </w:rPr>
      <w:drawing>
        <wp:anchor distT="0" distB="0" distL="114300" distR="114300" simplePos="0" relativeHeight="251659264" behindDoc="1" locked="0" layoutInCell="1" allowOverlap="1">
          <wp:simplePos x="0" y="0"/>
          <wp:positionH relativeFrom="column">
            <wp:posOffset>441325</wp:posOffset>
          </wp:positionH>
          <wp:positionV relativeFrom="paragraph">
            <wp:posOffset>-890270</wp:posOffset>
          </wp:positionV>
          <wp:extent cx="752475" cy="885825"/>
          <wp:effectExtent l="0" t="0" r="9525" b="952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52475" cy="8858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3441"/>
    <w:multiLevelType w:val="multilevel"/>
    <w:tmpl w:val="036E3441"/>
    <w:lvl w:ilvl="0">
      <w:numFmt w:val="bullet"/>
      <w:lvlText w:val="-"/>
      <w:lvlJc w:val="left"/>
      <w:pPr>
        <w:ind w:left="360" w:hanging="360"/>
      </w:pPr>
      <w:rPr>
        <w:rFonts w:ascii="Times New Roman" w:eastAsiaTheme="minorEastAsia"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F67038F"/>
    <w:multiLevelType w:val="multilevel"/>
    <w:tmpl w:val="0F6703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5555E54"/>
    <w:multiLevelType w:val="multilevel"/>
    <w:tmpl w:val="25555E54"/>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A50382"/>
    <w:multiLevelType w:val="multilevel"/>
    <w:tmpl w:val="28A5038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3B42061"/>
    <w:multiLevelType w:val="multilevel"/>
    <w:tmpl w:val="73B4206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131078" w:nlCheck="1" w:checkStyle="0"/>
  <w:activeWritingStyle w:appName="MSWord" w:lang="es-CO" w:vendorID="64" w:dllVersion="131078" w:nlCheck="1" w:checkStyle="0"/>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37F"/>
    <w:rsid w:val="000059B8"/>
    <w:rsid w:val="000065A0"/>
    <w:rsid w:val="000076EC"/>
    <w:rsid w:val="00010308"/>
    <w:rsid w:val="00010DD3"/>
    <w:rsid w:val="00011269"/>
    <w:rsid w:val="00011801"/>
    <w:rsid w:val="00011BCE"/>
    <w:rsid w:val="00012611"/>
    <w:rsid w:val="000154B2"/>
    <w:rsid w:val="000159EA"/>
    <w:rsid w:val="00015A11"/>
    <w:rsid w:val="0002047E"/>
    <w:rsid w:val="00021C2A"/>
    <w:rsid w:val="00021CBC"/>
    <w:rsid w:val="000220BC"/>
    <w:rsid w:val="0002363A"/>
    <w:rsid w:val="00024A55"/>
    <w:rsid w:val="00025190"/>
    <w:rsid w:val="0002796F"/>
    <w:rsid w:val="00031ABB"/>
    <w:rsid w:val="00033BCA"/>
    <w:rsid w:val="0003606D"/>
    <w:rsid w:val="0003786D"/>
    <w:rsid w:val="00040A87"/>
    <w:rsid w:val="0004268D"/>
    <w:rsid w:val="00045734"/>
    <w:rsid w:val="000468B2"/>
    <w:rsid w:val="00047D27"/>
    <w:rsid w:val="00050074"/>
    <w:rsid w:val="0005123F"/>
    <w:rsid w:val="000512AC"/>
    <w:rsid w:val="00052059"/>
    <w:rsid w:val="00054A48"/>
    <w:rsid w:val="00054C28"/>
    <w:rsid w:val="0005538D"/>
    <w:rsid w:val="000606F2"/>
    <w:rsid w:val="00060C03"/>
    <w:rsid w:val="00062A54"/>
    <w:rsid w:val="0006390E"/>
    <w:rsid w:val="00063A38"/>
    <w:rsid w:val="00065939"/>
    <w:rsid w:val="00066B89"/>
    <w:rsid w:val="000671C0"/>
    <w:rsid w:val="000711E4"/>
    <w:rsid w:val="000721C1"/>
    <w:rsid w:val="00072301"/>
    <w:rsid w:val="00072D6F"/>
    <w:rsid w:val="0007345E"/>
    <w:rsid w:val="000760FF"/>
    <w:rsid w:val="000769A4"/>
    <w:rsid w:val="0008150F"/>
    <w:rsid w:val="00082053"/>
    <w:rsid w:val="00083C02"/>
    <w:rsid w:val="0008405D"/>
    <w:rsid w:val="000844A8"/>
    <w:rsid w:val="00084D5D"/>
    <w:rsid w:val="0008515E"/>
    <w:rsid w:val="0008684A"/>
    <w:rsid w:val="00087088"/>
    <w:rsid w:val="00090DC5"/>
    <w:rsid w:val="00091EB1"/>
    <w:rsid w:val="000925A1"/>
    <w:rsid w:val="00092D8D"/>
    <w:rsid w:val="00095B51"/>
    <w:rsid w:val="000963F9"/>
    <w:rsid w:val="000966C3"/>
    <w:rsid w:val="00096C70"/>
    <w:rsid w:val="000972D1"/>
    <w:rsid w:val="000977E7"/>
    <w:rsid w:val="00097DB5"/>
    <w:rsid w:val="000A0030"/>
    <w:rsid w:val="000A14D7"/>
    <w:rsid w:val="000A4AC8"/>
    <w:rsid w:val="000A6C08"/>
    <w:rsid w:val="000B151F"/>
    <w:rsid w:val="000B37D1"/>
    <w:rsid w:val="000B4E23"/>
    <w:rsid w:val="000B4E77"/>
    <w:rsid w:val="000B5898"/>
    <w:rsid w:val="000B5CCD"/>
    <w:rsid w:val="000B78A9"/>
    <w:rsid w:val="000B7C3B"/>
    <w:rsid w:val="000B7EA4"/>
    <w:rsid w:val="000C05B0"/>
    <w:rsid w:val="000C216C"/>
    <w:rsid w:val="000C3623"/>
    <w:rsid w:val="000C482C"/>
    <w:rsid w:val="000C5E67"/>
    <w:rsid w:val="000D1066"/>
    <w:rsid w:val="000D1C54"/>
    <w:rsid w:val="000D2BCE"/>
    <w:rsid w:val="000D2DE7"/>
    <w:rsid w:val="000D50FE"/>
    <w:rsid w:val="000D7F0C"/>
    <w:rsid w:val="000E0680"/>
    <w:rsid w:val="000E1909"/>
    <w:rsid w:val="000E1E85"/>
    <w:rsid w:val="000E3C29"/>
    <w:rsid w:val="000E418B"/>
    <w:rsid w:val="000E4369"/>
    <w:rsid w:val="000E6018"/>
    <w:rsid w:val="000E6583"/>
    <w:rsid w:val="000E6B86"/>
    <w:rsid w:val="000F00B1"/>
    <w:rsid w:val="000F1586"/>
    <w:rsid w:val="000F169D"/>
    <w:rsid w:val="000F24CD"/>
    <w:rsid w:val="000F552A"/>
    <w:rsid w:val="000F5BE3"/>
    <w:rsid w:val="00100E1D"/>
    <w:rsid w:val="0010156E"/>
    <w:rsid w:val="00101EBD"/>
    <w:rsid w:val="001031C4"/>
    <w:rsid w:val="0010473C"/>
    <w:rsid w:val="00104872"/>
    <w:rsid w:val="00104FEE"/>
    <w:rsid w:val="0010508F"/>
    <w:rsid w:val="00105763"/>
    <w:rsid w:val="00105A20"/>
    <w:rsid w:val="001064EA"/>
    <w:rsid w:val="001067DF"/>
    <w:rsid w:val="00106D51"/>
    <w:rsid w:val="001144A9"/>
    <w:rsid w:val="0011514F"/>
    <w:rsid w:val="00115610"/>
    <w:rsid w:val="00120391"/>
    <w:rsid w:val="00120C67"/>
    <w:rsid w:val="0012109F"/>
    <w:rsid w:val="00121CCB"/>
    <w:rsid w:val="00121F38"/>
    <w:rsid w:val="00123402"/>
    <w:rsid w:val="00125FA9"/>
    <w:rsid w:val="00127502"/>
    <w:rsid w:val="001277C9"/>
    <w:rsid w:val="00130371"/>
    <w:rsid w:val="001316B7"/>
    <w:rsid w:val="001318FA"/>
    <w:rsid w:val="001321E1"/>
    <w:rsid w:val="00132BB4"/>
    <w:rsid w:val="00133168"/>
    <w:rsid w:val="001333B1"/>
    <w:rsid w:val="00133543"/>
    <w:rsid w:val="00134E79"/>
    <w:rsid w:val="001353FF"/>
    <w:rsid w:val="00135704"/>
    <w:rsid w:val="00135A42"/>
    <w:rsid w:val="001363EA"/>
    <w:rsid w:val="001377B6"/>
    <w:rsid w:val="00140AEF"/>
    <w:rsid w:val="001411E5"/>
    <w:rsid w:val="0014297A"/>
    <w:rsid w:val="0014353E"/>
    <w:rsid w:val="001469EB"/>
    <w:rsid w:val="00147AD3"/>
    <w:rsid w:val="001538BA"/>
    <w:rsid w:val="00154385"/>
    <w:rsid w:val="0015564D"/>
    <w:rsid w:val="0015630E"/>
    <w:rsid w:val="001575C7"/>
    <w:rsid w:val="00161BE3"/>
    <w:rsid w:val="00163FEE"/>
    <w:rsid w:val="0017605A"/>
    <w:rsid w:val="001765E7"/>
    <w:rsid w:val="00176FFA"/>
    <w:rsid w:val="00177AE3"/>
    <w:rsid w:val="00181CD3"/>
    <w:rsid w:val="0018202E"/>
    <w:rsid w:val="001821F6"/>
    <w:rsid w:val="00182497"/>
    <w:rsid w:val="00183F8F"/>
    <w:rsid w:val="001842CE"/>
    <w:rsid w:val="00186190"/>
    <w:rsid w:val="00187DF6"/>
    <w:rsid w:val="00187F34"/>
    <w:rsid w:val="00190823"/>
    <w:rsid w:val="0019158D"/>
    <w:rsid w:val="001916AF"/>
    <w:rsid w:val="001920BF"/>
    <w:rsid w:val="00193297"/>
    <w:rsid w:val="0019403D"/>
    <w:rsid w:val="00194068"/>
    <w:rsid w:val="001944EB"/>
    <w:rsid w:val="00194546"/>
    <w:rsid w:val="001953E1"/>
    <w:rsid w:val="00197A0A"/>
    <w:rsid w:val="001A0300"/>
    <w:rsid w:val="001A0BC5"/>
    <w:rsid w:val="001A0EA1"/>
    <w:rsid w:val="001A1A14"/>
    <w:rsid w:val="001A292B"/>
    <w:rsid w:val="001A334E"/>
    <w:rsid w:val="001A48A4"/>
    <w:rsid w:val="001A5510"/>
    <w:rsid w:val="001A5ED6"/>
    <w:rsid w:val="001A6247"/>
    <w:rsid w:val="001B047D"/>
    <w:rsid w:val="001B11EA"/>
    <w:rsid w:val="001B29AE"/>
    <w:rsid w:val="001B5EB2"/>
    <w:rsid w:val="001C04FE"/>
    <w:rsid w:val="001C33C1"/>
    <w:rsid w:val="001C6022"/>
    <w:rsid w:val="001C7725"/>
    <w:rsid w:val="001C798A"/>
    <w:rsid w:val="001D0D50"/>
    <w:rsid w:val="001D131C"/>
    <w:rsid w:val="001D1FD3"/>
    <w:rsid w:val="001D2012"/>
    <w:rsid w:val="001D68E3"/>
    <w:rsid w:val="001D78E7"/>
    <w:rsid w:val="001E0250"/>
    <w:rsid w:val="001E214B"/>
    <w:rsid w:val="001E2F7F"/>
    <w:rsid w:val="001E5883"/>
    <w:rsid w:val="001E5BC1"/>
    <w:rsid w:val="001F3794"/>
    <w:rsid w:val="001F3EF9"/>
    <w:rsid w:val="001F3FC9"/>
    <w:rsid w:val="001F6FE2"/>
    <w:rsid w:val="001F72F6"/>
    <w:rsid w:val="001F7DBF"/>
    <w:rsid w:val="00200C0A"/>
    <w:rsid w:val="00201CD0"/>
    <w:rsid w:val="002035C9"/>
    <w:rsid w:val="0020368C"/>
    <w:rsid w:val="00203763"/>
    <w:rsid w:val="0020381D"/>
    <w:rsid w:val="00205F2D"/>
    <w:rsid w:val="00206E59"/>
    <w:rsid w:val="00207256"/>
    <w:rsid w:val="00210853"/>
    <w:rsid w:val="0021192B"/>
    <w:rsid w:val="00211ACD"/>
    <w:rsid w:val="0021240F"/>
    <w:rsid w:val="00213574"/>
    <w:rsid w:val="002142AC"/>
    <w:rsid w:val="002143F6"/>
    <w:rsid w:val="00214E28"/>
    <w:rsid w:val="002162DF"/>
    <w:rsid w:val="00217EA7"/>
    <w:rsid w:val="002211D8"/>
    <w:rsid w:val="00221240"/>
    <w:rsid w:val="00221CC3"/>
    <w:rsid w:val="00223E4C"/>
    <w:rsid w:val="00223F6A"/>
    <w:rsid w:val="002271E4"/>
    <w:rsid w:val="00230528"/>
    <w:rsid w:val="00232150"/>
    <w:rsid w:val="002334EF"/>
    <w:rsid w:val="002363B9"/>
    <w:rsid w:val="00237EAC"/>
    <w:rsid w:val="00240C73"/>
    <w:rsid w:val="00240FDE"/>
    <w:rsid w:val="0024407B"/>
    <w:rsid w:val="0024488E"/>
    <w:rsid w:val="00244B11"/>
    <w:rsid w:val="00246E98"/>
    <w:rsid w:val="00253D21"/>
    <w:rsid w:val="00255660"/>
    <w:rsid w:val="00255829"/>
    <w:rsid w:val="00256A9C"/>
    <w:rsid w:val="00261D8F"/>
    <w:rsid w:val="002621FC"/>
    <w:rsid w:val="002623F4"/>
    <w:rsid w:val="00265386"/>
    <w:rsid w:val="00266720"/>
    <w:rsid w:val="002668E4"/>
    <w:rsid w:val="00267A7D"/>
    <w:rsid w:val="0027318A"/>
    <w:rsid w:val="00273400"/>
    <w:rsid w:val="00275375"/>
    <w:rsid w:val="00275E6F"/>
    <w:rsid w:val="002760AB"/>
    <w:rsid w:val="0027684C"/>
    <w:rsid w:val="002777D5"/>
    <w:rsid w:val="00277FF8"/>
    <w:rsid w:val="00282E5F"/>
    <w:rsid w:val="002846D9"/>
    <w:rsid w:val="002907D8"/>
    <w:rsid w:val="00290EF7"/>
    <w:rsid w:val="0029115F"/>
    <w:rsid w:val="0029282C"/>
    <w:rsid w:val="0029430D"/>
    <w:rsid w:val="002947DC"/>
    <w:rsid w:val="00295F8B"/>
    <w:rsid w:val="00297F9D"/>
    <w:rsid w:val="002A0D9E"/>
    <w:rsid w:val="002A105C"/>
    <w:rsid w:val="002A1B05"/>
    <w:rsid w:val="002A2530"/>
    <w:rsid w:val="002A3554"/>
    <w:rsid w:val="002A637C"/>
    <w:rsid w:val="002A6B6E"/>
    <w:rsid w:val="002A734A"/>
    <w:rsid w:val="002B0DF6"/>
    <w:rsid w:val="002B17A5"/>
    <w:rsid w:val="002B38C3"/>
    <w:rsid w:val="002B4FBA"/>
    <w:rsid w:val="002B778B"/>
    <w:rsid w:val="002B7B6E"/>
    <w:rsid w:val="002C0270"/>
    <w:rsid w:val="002C4DCC"/>
    <w:rsid w:val="002C676F"/>
    <w:rsid w:val="002C6B1B"/>
    <w:rsid w:val="002D1A2D"/>
    <w:rsid w:val="002D3D55"/>
    <w:rsid w:val="002D49D8"/>
    <w:rsid w:val="002D5130"/>
    <w:rsid w:val="002D543B"/>
    <w:rsid w:val="002D6CC9"/>
    <w:rsid w:val="002D6D8F"/>
    <w:rsid w:val="002D7C2C"/>
    <w:rsid w:val="002E1BCA"/>
    <w:rsid w:val="002E51A9"/>
    <w:rsid w:val="002E55FA"/>
    <w:rsid w:val="002E57B9"/>
    <w:rsid w:val="002E5B27"/>
    <w:rsid w:val="002E5C21"/>
    <w:rsid w:val="002E6969"/>
    <w:rsid w:val="002F03EC"/>
    <w:rsid w:val="002F1EBF"/>
    <w:rsid w:val="002F23F8"/>
    <w:rsid w:val="002F3939"/>
    <w:rsid w:val="002F518B"/>
    <w:rsid w:val="002F5C55"/>
    <w:rsid w:val="002F6A4B"/>
    <w:rsid w:val="002F6D52"/>
    <w:rsid w:val="002F797D"/>
    <w:rsid w:val="00300871"/>
    <w:rsid w:val="003008A0"/>
    <w:rsid w:val="00300C97"/>
    <w:rsid w:val="00300CC4"/>
    <w:rsid w:val="00301094"/>
    <w:rsid w:val="003028C6"/>
    <w:rsid w:val="00304277"/>
    <w:rsid w:val="00306ABC"/>
    <w:rsid w:val="00310E51"/>
    <w:rsid w:val="003134A6"/>
    <w:rsid w:val="0031354E"/>
    <w:rsid w:val="00313CF1"/>
    <w:rsid w:val="00314D70"/>
    <w:rsid w:val="003204EA"/>
    <w:rsid w:val="0032262A"/>
    <w:rsid w:val="00322DA0"/>
    <w:rsid w:val="00324247"/>
    <w:rsid w:val="00324A12"/>
    <w:rsid w:val="00325383"/>
    <w:rsid w:val="00326F06"/>
    <w:rsid w:val="003271D5"/>
    <w:rsid w:val="0032724A"/>
    <w:rsid w:val="003274F3"/>
    <w:rsid w:val="00331948"/>
    <w:rsid w:val="00331CD0"/>
    <w:rsid w:val="003324AA"/>
    <w:rsid w:val="00333445"/>
    <w:rsid w:val="00335928"/>
    <w:rsid w:val="00336484"/>
    <w:rsid w:val="00336DDB"/>
    <w:rsid w:val="0033737C"/>
    <w:rsid w:val="00337B0F"/>
    <w:rsid w:val="003428DB"/>
    <w:rsid w:val="00342C76"/>
    <w:rsid w:val="00345A63"/>
    <w:rsid w:val="0034706F"/>
    <w:rsid w:val="00347BAB"/>
    <w:rsid w:val="00347FA3"/>
    <w:rsid w:val="003503DA"/>
    <w:rsid w:val="003505F9"/>
    <w:rsid w:val="003514DF"/>
    <w:rsid w:val="00352141"/>
    <w:rsid w:val="0035605D"/>
    <w:rsid w:val="003564D8"/>
    <w:rsid w:val="00356EE7"/>
    <w:rsid w:val="00357BBB"/>
    <w:rsid w:val="00362189"/>
    <w:rsid w:val="00362274"/>
    <w:rsid w:val="00362F45"/>
    <w:rsid w:val="00364183"/>
    <w:rsid w:val="003646AA"/>
    <w:rsid w:val="00366296"/>
    <w:rsid w:val="003673C8"/>
    <w:rsid w:val="0037078D"/>
    <w:rsid w:val="0037340A"/>
    <w:rsid w:val="0037605C"/>
    <w:rsid w:val="00376CA3"/>
    <w:rsid w:val="003771D0"/>
    <w:rsid w:val="00377440"/>
    <w:rsid w:val="00380653"/>
    <w:rsid w:val="00380F1E"/>
    <w:rsid w:val="00381225"/>
    <w:rsid w:val="00381822"/>
    <w:rsid w:val="00382EA8"/>
    <w:rsid w:val="003830D4"/>
    <w:rsid w:val="00383337"/>
    <w:rsid w:val="00385412"/>
    <w:rsid w:val="003860E8"/>
    <w:rsid w:val="00386881"/>
    <w:rsid w:val="003874C7"/>
    <w:rsid w:val="003948C8"/>
    <w:rsid w:val="00396726"/>
    <w:rsid w:val="00396B52"/>
    <w:rsid w:val="00397F98"/>
    <w:rsid w:val="003A0EC3"/>
    <w:rsid w:val="003A2596"/>
    <w:rsid w:val="003A3F4B"/>
    <w:rsid w:val="003A43AD"/>
    <w:rsid w:val="003A473B"/>
    <w:rsid w:val="003A5100"/>
    <w:rsid w:val="003B0CCC"/>
    <w:rsid w:val="003B1825"/>
    <w:rsid w:val="003B2AF9"/>
    <w:rsid w:val="003B4B01"/>
    <w:rsid w:val="003B5012"/>
    <w:rsid w:val="003B527A"/>
    <w:rsid w:val="003B64F6"/>
    <w:rsid w:val="003B7BF3"/>
    <w:rsid w:val="003C0158"/>
    <w:rsid w:val="003C429B"/>
    <w:rsid w:val="003C50FB"/>
    <w:rsid w:val="003D0D48"/>
    <w:rsid w:val="003D0F5F"/>
    <w:rsid w:val="003D1E72"/>
    <w:rsid w:val="003D4C5F"/>
    <w:rsid w:val="003D66A1"/>
    <w:rsid w:val="003E0015"/>
    <w:rsid w:val="003E0716"/>
    <w:rsid w:val="003E0769"/>
    <w:rsid w:val="003E1D62"/>
    <w:rsid w:val="003E2652"/>
    <w:rsid w:val="003E2811"/>
    <w:rsid w:val="003E58CC"/>
    <w:rsid w:val="003E633C"/>
    <w:rsid w:val="003F5B37"/>
    <w:rsid w:val="003F5C38"/>
    <w:rsid w:val="003F5CEE"/>
    <w:rsid w:val="003F6AB6"/>
    <w:rsid w:val="003F701C"/>
    <w:rsid w:val="003F7666"/>
    <w:rsid w:val="003F7A93"/>
    <w:rsid w:val="0040087F"/>
    <w:rsid w:val="00402824"/>
    <w:rsid w:val="00403191"/>
    <w:rsid w:val="004041C7"/>
    <w:rsid w:val="00404A86"/>
    <w:rsid w:val="00404CBC"/>
    <w:rsid w:val="00405D94"/>
    <w:rsid w:val="00405EB3"/>
    <w:rsid w:val="004103C1"/>
    <w:rsid w:val="00411933"/>
    <w:rsid w:val="0041200F"/>
    <w:rsid w:val="00413D78"/>
    <w:rsid w:val="0041576C"/>
    <w:rsid w:val="00417170"/>
    <w:rsid w:val="00417970"/>
    <w:rsid w:val="00417EDE"/>
    <w:rsid w:val="00420498"/>
    <w:rsid w:val="00422978"/>
    <w:rsid w:val="00422DC1"/>
    <w:rsid w:val="004242F1"/>
    <w:rsid w:val="00425596"/>
    <w:rsid w:val="00426D83"/>
    <w:rsid w:val="00427540"/>
    <w:rsid w:val="004275DB"/>
    <w:rsid w:val="00427A4D"/>
    <w:rsid w:val="00430819"/>
    <w:rsid w:val="004343F3"/>
    <w:rsid w:val="00437D6B"/>
    <w:rsid w:val="0044378B"/>
    <w:rsid w:val="00444EC0"/>
    <w:rsid w:val="00447BC5"/>
    <w:rsid w:val="00450808"/>
    <w:rsid w:val="00450B72"/>
    <w:rsid w:val="004514C5"/>
    <w:rsid w:val="00453793"/>
    <w:rsid w:val="004544DF"/>
    <w:rsid w:val="00455548"/>
    <w:rsid w:val="0046141E"/>
    <w:rsid w:val="00461C38"/>
    <w:rsid w:val="00462025"/>
    <w:rsid w:val="00462A04"/>
    <w:rsid w:val="004702E9"/>
    <w:rsid w:val="004710E6"/>
    <w:rsid w:val="00471A72"/>
    <w:rsid w:val="00472542"/>
    <w:rsid w:val="004727D6"/>
    <w:rsid w:val="00472886"/>
    <w:rsid w:val="0047310A"/>
    <w:rsid w:val="0047391F"/>
    <w:rsid w:val="00476B89"/>
    <w:rsid w:val="00476DAB"/>
    <w:rsid w:val="0048000A"/>
    <w:rsid w:val="00481FA9"/>
    <w:rsid w:val="00483D7F"/>
    <w:rsid w:val="00486817"/>
    <w:rsid w:val="0048745C"/>
    <w:rsid w:val="0048771E"/>
    <w:rsid w:val="004918F0"/>
    <w:rsid w:val="00493933"/>
    <w:rsid w:val="004950D4"/>
    <w:rsid w:val="0049598F"/>
    <w:rsid w:val="00497314"/>
    <w:rsid w:val="004A1073"/>
    <w:rsid w:val="004A1730"/>
    <w:rsid w:val="004A345E"/>
    <w:rsid w:val="004A3998"/>
    <w:rsid w:val="004A4195"/>
    <w:rsid w:val="004A5726"/>
    <w:rsid w:val="004A5EC4"/>
    <w:rsid w:val="004B1587"/>
    <w:rsid w:val="004B1D07"/>
    <w:rsid w:val="004B2715"/>
    <w:rsid w:val="004B461E"/>
    <w:rsid w:val="004B661D"/>
    <w:rsid w:val="004C140E"/>
    <w:rsid w:val="004C16A4"/>
    <w:rsid w:val="004C1893"/>
    <w:rsid w:val="004C19F0"/>
    <w:rsid w:val="004C3B5C"/>
    <w:rsid w:val="004C5BBE"/>
    <w:rsid w:val="004D1FAC"/>
    <w:rsid w:val="004D313E"/>
    <w:rsid w:val="004D4AE7"/>
    <w:rsid w:val="004D71BC"/>
    <w:rsid w:val="004E1FDE"/>
    <w:rsid w:val="004E43F6"/>
    <w:rsid w:val="004F0264"/>
    <w:rsid w:val="004F26E7"/>
    <w:rsid w:val="004F3EB3"/>
    <w:rsid w:val="004F49C6"/>
    <w:rsid w:val="004F55D2"/>
    <w:rsid w:val="004F5F93"/>
    <w:rsid w:val="00501186"/>
    <w:rsid w:val="00501C06"/>
    <w:rsid w:val="00503A21"/>
    <w:rsid w:val="00504105"/>
    <w:rsid w:val="00504C41"/>
    <w:rsid w:val="00506FBD"/>
    <w:rsid w:val="0050781F"/>
    <w:rsid w:val="0051018D"/>
    <w:rsid w:val="00512C82"/>
    <w:rsid w:val="00513860"/>
    <w:rsid w:val="005144B4"/>
    <w:rsid w:val="005145CB"/>
    <w:rsid w:val="005166F7"/>
    <w:rsid w:val="00517620"/>
    <w:rsid w:val="005179E2"/>
    <w:rsid w:val="00520D4B"/>
    <w:rsid w:val="00523946"/>
    <w:rsid w:val="00525EB0"/>
    <w:rsid w:val="005274F1"/>
    <w:rsid w:val="00532554"/>
    <w:rsid w:val="00532556"/>
    <w:rsid w:val="00532CE4"/>
    <w:rsid w:val="00532F01"/>
    <w:rsid w:val="00540370"/>
    <w:rsid w:val="005411EE"/>
    <w:rsid w:val="005416BC"/>
    <w:rsid w:val="00542B72"/>
    <w:rsid w:val="00542C83"/>
    <w:rsid w:val="005439B6"/>
    <w:rsid w:val="00543BF4"/>
    <w:rsid w:val="00546935"/>
    <w:rsid w:val="00547BE0"/>
    <w:rsid w:val="00551561"/>
    <w:rsid w:val="00552857"/>
    <w:rsid w:val="00553906"/>
    <w:rsid w:val="00553FF1"/>
    <w:rsid w:val="00554BD9"/>
    <w:rsid w:val="005557D0"/>
    <w:rsid w:val="005562F4"/>
    <w:rsid w:val="00557140"/>
    <w:rsid w:val="005575C7"/>
    <w:rsid w:val="00557BA9"/>
    <w:rsid w:val="00560023"/>
    <w:rsid w:val="005611E8"/>
    <w:rsid w:val="00567511"/>
    <w:rsid w:val="00567E76"/>
    <w:rsid w:val="00571A5A"/>
    <w:rsid w:val="00571CA3"/>
    <w:rsid w:val="00572B3B"/>
    <w:rsid w:val="00572FE0"/>
    <w:rsid w:val="005739B1"/>
    <w:rsid w:val="00574C83"/>
    <w:rsid w:val="00583340"/>
    <w:rsid w:val="00584BE8"/>
    <w:rsid w:val="00584BF9"/>
    <w:rsid w:val="0058550F"/>
    <w:rsid w:val="00591D84"/>
    <w:rsid w:val="00592BCB"/>
    <w:rsid w:val="00592BFA"/>
    <w:rsid w:val="005933EC"/>
    <w:rsid w:val="00594DD9"/>
    <w:rsid w:val="00594E3B"/>
    <w:rsid w:val="0059518E"/>
    <w:rsid w:val="005957E2"/>
    <w:rsid w:val="00595F43"/>
    <w:rsid w:val="005965E8"/>
    <w:rsid w:val="00596E65"/>
    <w:rsid w:val="005A0680"/>
    <w:rsid w:val="005A0937"/>
    <w:rsid w:val="005A150A"/>
    <w:rsid w:val="005A3024"/>
    <w:rsid w:val="005A437B"/>
    <w:rsid w:val="005A578B"/>
    <w:rsid w:val="005B0A08"/>
    <w:rsid w:val="005B143F"/>
    <w:rsid w:val="005B26B6"/>
    <w:rsid w:val="005B273F"/>
    <w:rsid w:val="005B6E32"/>
    <w:rsid w:val="005C08B2"/>
    <w:rsid w:val="005C212A"/>
    <w:rsid w:val="005C295B"/>
    <w:rsid w:val="005C3311"/>
    <w:rsid w:val="005C504F"/>
    <w:rsid w:val="005C5429"/>
    <w:rsid w:val="005D1C57"/>
    <w:rsid w:val="005D4248"/>
    <w:rsid w:val="005D7A2B"/>
    <w:rsid w:val="005E0653"/>
    <w:rsid w:val="005E0D7D"/>
    <w:rsid w:val="005E0FD4"/>
    <w:rsid w:val="005E3314"/>
    <w:rsid w:val="005E3F28"/>
    <w:rsid w:val="005E4F30"/>
    <w:rsid w:val="005E5AC3"/>
    <w:rsid w:val="005F1FF0"/>
    <w:rsid w:val="005F487D"/>
    <w:rsid w:val="0060483C"/>
    <w:rsid w:val="00604E04"/>
    <w:rsid w:val="00604F54"/>
    <w:rsid w:val="00610CCE"/>
    <w:rsid w:val="0061239B"/>
    <w:rsid w:val="0061314B"/>
    <w:rsid w:val="006143E2"/>
    <w:rsid w:val="00615052"/>
    <w:rsid w:val="00615F57"/>
    <w:rsid w:val="006174A0"/>
    <w:rsid w:val="00620339"/>
    <w:rsid w:val="0062138C"/>
    <w:rsid w:val="00621A41"/>
    <w:rsid w:val="00621B63"/>
    <w:rsid w:val="00621D8E"/>
    <w:rsid w:val="0062393F"/>
    <w:rsid w:val="00625F9C"/>
    <w:rsid w:val="00626FF0"/>
    <w:rsid w:val="00627632"/>
    <w:rsid w:val="00627BF5"/>
    <w:rsid w:val="0063068B"/>
    <w:rsid w:val="00631165"/>
    <w:rsid w:val="00631A8C"/>
    <w:rsid w:val="00633540"/>
    <w:rsid w:val="00635E45"/>
    <w:rsid w:val="00636068"/>
    <w:rsid w:val="00636603"/>
    <w:rsid w:val="00640728"/>
    <w:rsid w:val="00640766"/>
    <w:rsid w:val="00644457"/>
    <w:rsid w:val="006455D4"/>
    <w:rsid w:val="006457C4"/>
    <w:rsid w:val="006457EE"/>
    <w:rsid w:val="00645868"/>
    <w:rsid w:val="00646B36"/>
    <w:rsid w:val="006479FB"/>
    <w:rsid w:val="00650775"/>
    <w:rsid w:val="00651DBC"/>
    <w:rsid w:val="00653622"/>
    <w:rsid w:val="006560C3"/>
    <w:rsid w:val="0066006E"/>
    <w:rsid w:val="00660ACF"/>
    <w:rsid w:val="00661248"/>
    <w:rsid w:val="00661A41"/>
    <w:rsid w:val="006635AC"/>
    <w:rsid w:val="00663AB3"/>
    <w:rsid w:val="0066403E"/>
    <w:rsid w:val="0066573B"/>
    <w:rsid w:val="00666F1C"/>
    <w:rsid w:val="006675EE"/>
    <w:rsid w:val="006679B8"/>
    <w:rsid w:val="0067110A"/>
    <w:rsid w:val="006713B4"/>
    <w:rsid w:val="00671FD9"/>
    <w:rsid w:val="00673A95"/>
    <w:rsid w:val="00673BBA"/>
    <w:rsid w:val="00673BCC"/>
    <w:rsid w:val="00673C93"/>
    <w:rsid w:val="00675D97"/>
    <w:rsid w:val="00676939"/>
    <w:rsid w:val="00683F32"/>
    <w:rsid w:val="00691851"/>
    <w:rsid w:val="00693A57"/>
    <w:rsid w:val="00696A68"/>
    <w:rsid w:val="006972A3"/>
    <w:rsid w:val="006A13CC"/>
    <w:rsid w:val="006A72CA"/>
    <w:rsid w:val="006B0FE9"/>
    <w:rsid w:val="006B358E"/>
    <w:rsid w:val="006B3AE0"/>
    <w:rsid w:val="006B3AEA"/>
    <w:rsid w:val="006B3C72"/>
    <w:rsid w:val="006B50B7"/>
    <w:rsid w:val="006B6629"/>
    <w:rsid w:val="006B7A42"/>
    <w:rsid w:val="006B7A48"/>
    <w:rsid w:val="006C0E60"/>
    <w:rsid w:val="006C1517"/>
    <w:rsid w:val="006C1A4E"/>
    <w:rsid w:val="006C1BD1"/>
    <w:rsid w:val="006C582E"/>
    <w:rsid w:val="006C5FB0"/>
    <w:rsid w:val="006C69F5"/>
    <w:rsid w:val="006C7192"/>
    <w:rsid w:val="006D0A47"/>
    <w:rsid w:val="006D0FEE"/>
    <w:rsid w:val="006D108C"/>
    <w:rsid w:val="006D1D18"/>
    <w:rsid w:val="006D1FA7"/>
    <w:rsid w:val="006D201C"/>
    <w:rsid w:val="006D2A16"/>
    <w:rsid w:val="006D2C87"/>
    <w:rsid w:val="006D5269"/>
    <w:rsid w:val="006E0CF7"/>
    <w:rsid w:val="006E165C"/>
    <w:rsid w:val="006E1C34"/>
    <w:rsid w:val="006E29C6"/>
    <w:rsid w:val="006E46FE"/>
    <w:rsid w:val="006E49F5"/>
    <w:rsid w:val="006E5C16"/>
    <w:rsid w:val="006E6688"/>
    <w:rsid w:val="006F04EF"/>
    <w:rsid w:val="006F069D"/>
    <w:rsid w:val="006F2531"/>
    <w:rsid w:val="006F382E"/>
    <w:rsid w:val="006F4B02"/>
    <w:rsid w:val="006F4BA8"/>
    <w:rsid w:val="006F63E5"/>
    <w:rsid w:val="0070286D"/>
    <w:rsid w:val="00702B04"/>
    <w:rsid w:val="00704D7A"/>
    <w:rsid w:val="00705FB2"/>
    <w:rsid w:val="00706129"/>
    <w:rsid w:val="00707975"/>
    <w:rsid w:val="00710811"/>
    <w:rsid w:val="00710910"/>
    <w:rsid w:val="007118D7"/>
    <w:rsid w:val="007152D2"/>
    <w:rsid w:val="00716230"/>
    <w:rsid w:val="00717ACF"/>
    <w:rsid w:val="00721876"/>
    <w:rsid w:val="0072250E"/>
    <w:rsid w:val="007248C6"/>
    <w:rsid w:val="0072610A"/>
    <w:rsid w:val="00727155"/>
    <w:rsid w:val="00732C6B"/>
    <w:rsid w:val="007341F6"/>
    <w:rsid w:val="00735F7A"/>
    <w:rsid w:val="0074005F"/>
    <w:rsid w:val="00740CF7"/>
    <w:rsid w:val="00740E80"/>
    <w:rsid w:val="00743EAB"/>
    <w:rsid w:val="00744AB3"/>
    <w:rsid w:val="00747C02"/>
    <w:rsid w:val="00750A5F"/>
    <w:rsid w:val="00753286"/>
    <w:rsid w:val="00753789"/>
    <w:rsid w:val="00754E81"/>
    <w:rsid w:val="00756BC2"/>
    <w:rsid w:val="00756E35"/>
    <w:rsid w:val="00756EBE"/>
    <w:rsid w:val="007616BA"/>
    <w:rsid w:val="00761C7F"/>
    <w:rsid w:val="007625B2"/>
    <w:rsid w:val="007628CA"/>
    <w:rsid w:val="00764612"/>
    <w:rsid w:val="0076591A"/>
    <w:rsid w:val="007663AD"/>
    <w:rsid w:val="0077016F"/>
    <w:rsid w:val="007703E2"/>
    <w:rsid w:val="007718C9"/>
    <w:rsid w:val="00771D4D"/>
    <w:rsid w:val="00773007"/>
    <w:rsid w:val="00774599"/>
    <w:rsid w:val="007764C5"/>
    <w:rsid w:val="00776D41"/>
    <w:rsid w:val="00776F07"/>
    <w:rsid w:val="0078000B"/>
    <w:rsid w:val="00780832"/>
    <w:rsid w:val="00780B2F"/>
    <w:rsid w:val="00780D4E"/>
    <w:rsid w:val="00780E8B"/>
    <w:rsid w:val="007823EB"/>
    <w:rsid w:val="00782CEF"/>
    <w:rsid w:val="00783228"/>
    <w:rsid w:val="0078358A"/>
    <w:rsid w:val="0078495C"/>
    <w:rsid w:val="00785774"/>
    <w:rsid w:val="00786592"/>
    <w:rsid w:val="00786A4E"/>
    <w:rsid w:val="00787027"/>
    <w:rsid w:val="007900AB"/>
    <w:rsid w:val="00791F01"/>
    <w:rsid w:val="0079208E"/>
    <w:rsid w:val="00795B15"/>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1084"/>
    <w:rsid w:val="007C2FE1"/>
    <w:rsid w:val="007C3012"/>
    <w:rsid w:val="007C3050"/>
    <w:rsid w:val="007C50D4"/>
    <w:rsid w:val="007C5B82"/>
    <w:rsid w:val="007C7DA3"/>
    <w:rsid w:val="007D4C84"/>
    <w:rsid w:val="007D4D8F"/>
    <w:rsid w:val="007D7645"/>
    <w:rsid w:val="007E0057"/>
    <w:rsid w:val="007E1ED5"/>
    <w:rsid w:val="007E471A"/>
    <w:rsid w:val="007E4AC3"/>
    <w:rsid w:val="007E5D52"/>
    <w:rsid w:val="007E67CE"/>
    <w:rsid w:val="007E6AB7"/>
    <w:rsid w:val="007E7306"/>
    <w:rsid w:val="007E7ED3"/>
    <w:rsid w:val="007F1FB0"/>
    <w:rsid w:val="007F3E1C"/>
    <w:rsid w:val="007F4B76"/>
    <w:rsid w:val="007F54B6"/>
    <w:rsid w:val="00801C01"/>
    <w:rsid w:val="008021B9"/>
    <w:rsid w:val="008027B6"/>
    <w:rsid w:val="00803D0D"/>
    <w:rsid w:val="0080593D"/>
    <w:rsid w:val="00805A93"/>
    <w:rsid w:val="00806A3D"/>
    <w:rsid w:val="00807B9A"/>
    <w:rsid w:val="00811186"/>
    <w:rsid w:val="0081167B"/>
    <w:rsid w:val="00811FE2"/>
    <w:rsid w:val="0081232F"/>
    <w:rsid w:val="00812F9F"/>
    <w:rsid w:val="0081689D"/>
    <w:rsid w:val="00817F9B"/>
    <w:rsid w:val="00822C04"/>
    <w:rsid w:val="00822E39"/>
    <w:rsid w:val="00823631"/>
    <w:rsid w:val="00823A93"/>
    <w:rsid w:val="008250C2"/>
    <w:rsid w:val="00825259"/>
    <w:rsid w:val="0082590B"/>
    <w:rsid w:val="00826518"/>
    <w:rsid w:val="00826804"/>
    <w:rsid w:val="0082739B"/>
    <w:rsid w:val="008275D0"/>
    <w:rsid w:val="0083474E"/>
    <w:rsid w:val="00834DA9"/>
    <w:rsid w:val="0083536D"/>
    <w:rsid w:val="00835DF7"/>
    <w:rsid w:val="00836C60"/>
    <w:rsid w:val="00840C8F"/>
    <w:rsid w:val="008413ED"/>
    <w:rsid w:val="0084177E"/>
    <w:rsid w:val="008448FC"/>
    <w:rsid w:val="0084548E"/>
    <w:rsid w:val="008516CF"/>
    <w:rsid w:val="00853D70"/>
    <w:rsid w:val="00854273"/>
    <w:rsid w:val="00854F01"/>
    <w:rsid w:val="00856FA2"/>
    <w:rsid w:val="008574C7"/>
    <w:rsid w:val="0086221F"/>
    <w:rsid w:val="00862F0A"/>
    <w:rsid w:val="008634C1"/>
    <w:rsid w:val="00863668"/>
    <w:rsid w:val="008645FF"/>
    <w:rsid w:val="00864A2A"/>
    <w:rsid w:val="00864E9A"/>
    <w:rsid w:val="0086515C"/>
    <w:rsid w:val="00866D1F"/>
    <w:rsid w:val="00867F99"/>
    <w:rsid w:val="00870CF0"/>
    <w:rsid w:val="00872362"/>
    <w:rsid w:val="00874272"/>
    <w:rsid w:val="00874654"/>
    <w:rsid w:val="00874C01"/>
    <w:rsid w:val="00874FC9"/>
    <w:rsid w:val="00875B98"/>
    <w:rsid w:val="0087777E"/>
    <w:rsid w:val="00880069"/>
    <w:rsid w:val="00881038"/>
    <w:rsid w:val="008814AD"/>
    <w:rsid w:val="008826AA"/>
    <w:rsid w:val="0088270F"/>
    <w:rsid w:val="008855E1"/>
    <w:rsid w:val="00885E87"/>
    <w:rsid w:val="00887719"/>
    <w:rsid w:val="00890A86"/>
    <w:rsid w:val="00892F18"/>
    <w:rsid w:val="008944B3"/>
    <w:rsid w:val="008944E9"/>
    <w:rsid w:val="008947D1"/>
    <w:rsid w:val="00894934"/>
    <w:rsid w:val="008968A5"/>
    <w:rsid w:val="008A26F5"/>
    <w:rsid w:val="008A450F"/>
    <w:rsid w:val="008A53F6"/>
    <w:rsid w:val="008A561F"/>
    <w:rsid w:val="008B14D8"/>
    <w:rsid w:val="008B23C8"/>
    <w:rsid w:val="008B2FEF"/>
    <w:rsid w:val="008B49BD"/>
    <w:rsid w:val="008B4EFA"/>
    <w:rsid w:val="008B5112"/>
    <w:rsid w:val="008B57EE"/>
    <w:rsid w:val="008B69D2"/>
    <w:rsid w:val="008B7B25"/>
    <w:rsid w:val="008B7FA0"/>
    <w:rsid w:val="008C1D5C"/>
    <w:rsid w:val="008C5309"/>
    <w:rsid w:val="008C550D"/>
    <w:rsid w:val="008C5E22"/>
    <w:rsid w:val="008C6DA7"/>
    <w:rsid w:val="008D08B7"/>
    <w:rsid w:val="008D0911"/>
    <w:rsid w:val="008D2980"/>
    <w:rsid w:val="008D3162"/>
    <w:rsid w:val="008D3D4A"/>
    <w:rsid w:val="008D4D44"/>
    <w:rsid w:val="008D5036"/>
    <w:rsid w:val="008D6B13"/>
    <w:rsid w:val="008D6DC7"/>
    <w:rsid w:val="008E0689"/>
    <w:rsid w:val="008E11A4"/>
    <w:rsid w:val="008E434A"/>
    <w:rsid w:val="008E633F"/>
    <w:rsid w:val="008E6B3B"/>
    <w:rsid w:val="008F07A8"/>
    <w:rsid w:val="008F2592"/>
    <w:rsid w:val="008F304D"/>
    <w:rsid w:val="00902124"/>
    <w:rsid w:val="00902F08"/>
    <w:rsid w:val="00905BEA"/>
    <w:rsid w:val="009065B1"/>
    <w:rsid w:val="00906CB2"/>
    <w:rsid w:val="00910CA5"/>
    <w:rsid w:val="00911342"/>
    <w:rsid w:val="00913AB4"/>
    <w:rsid w:val="00916002"/>
    <w:rsid w:val="009161A8"/>
    <w:rsid w:val="00917684"/>
    <w:rsid w:val="00917CC6"/>
    <w:rsid w:val="009210C7"/>
    <w:rsid w:val="009212A7"/>
    <w:rsid w:val="00921C3C"/>
    <w:rsid w:val="00921D3A"/>
    <w:rsid w:val="009228BA"/>
    <w:rsid w:val="009234DC"/>
    <w:rsid w:val="0092615B"/>
    <w:rsid w:val="009266DB"/>
    <w:rsid w:val="00926BEE"/>
    <w:rsid w:val="00927912"/>
    <w:rsid w:val="00927C27"/>
    <w:rsid w:val="009305C9"/>
    <w:rsid w:val="00931CDC"/>
    <w:rsid w:val="00932936"/>
    <w:rsid w:val="0093336E"/>
    <w:rsid w:val="00933ED4"/>
    <w:rsid w:val="00935B7C"/>
    <w:rsid w:val="00941B06"/>
    <w:rsid w:val="0094232A"/>
    <w:rsid w:val="00944698"/>
    <w:rsid w:val="00944A25"/>
    <w:rsid w:val="0094540B"/>
    <w:rsid w:val="009454BB"/>
    <w:rsid w:val="00947C16"/>
    <w:rsid w:val="00947F74"/>
    <w:rsid w:val="00953100"/>
    <w:rsid w:val="00953944"/>
    <w:rsid w:val="00954652"/>
    <w:rsid w:val="009556A2"/>
    <w:rsid w:val="0096063C"/>
    <w:rsid w:val="009643D3"/>
    <w:rsid w:val="00965086"/>
    <w:rsid w:val="00965A69"/>
    <w:rsid w:val="00965C3E"/>
    <w:rsid w:val="0096686A"/>
    <w:rsid w:val="00971244"/>
    <w:rsid w:val="009713A7"/>
    <w:rsid w:val="00972016"/>
    <w:rsid w:val="00972501"/>
    <w:rsid w:val="009728D7"/>
    <w:rsid w:val="00972952"/>
    <w:rsid w:val="009730CD"/>
    <w:rsid w:val="00976204"/>
    <w:rsid w:val="009779E9"/>
    <w:rsid w:val="009804C9"/>
    <w:rsid w:val="00980BD0"/>
    <w:rsid w:val="009811A3"/>
    <w:rsid w:val="00981B1A"/>
    <w:rsid w:val="009829D2"/>
    <w:rsid w:val="0098438D"/>
    <w:rsid w:val="00984812"/>
    <w:rsid w:val="009850F3"/>
    <w:rsid w:val="0098572D"/>
    <w:rsid w:val="0098756C"/>
    <w:rsid w:val="0099032A"/>
    <w:rsid w:val="0099051E"/>
    <w:rsid w:val="0099196C"/>
    <w:rsid w:val="009925A2"/>
    <w:rsid w:val="0099346A"/>
    <w:rsid w:val="00995D03"/>
    <w:rsid w:val="00997C09"/>
    <w:rsid w:val="00997EE9"/>
    <w:rsid w:val="009A01B2"/>
    <w:rsid w:val="009A1191"/>
    <w:rsid w:val="009A32E1"/>
    <w:rsid w:val="009A3D7F"/>
    <w:rsid w:val="009A441F"/>
    <w:rsid w:val="009A4D9B"/>
    <w:rsid w:val="009A71F7"/>
    <w:rsid w:val="009A7598"/>
    <w:rsid w:val="009B2260"/>
    <w:rsid w:val="009B3BE2"/>
    <w:rsid w:val="009B42D0"/>
    <w:rsid w:val="009C35C0"/>
    <w:rsid w:val="009C47FA"/>
    <w:rsid w:val="009C5DA6"/>
    <w:rsid w:val="009C6843"/>
    <w:rsid w:val="009D0197"/>
    <w:rsid w:val="009D1DBC"/>
    <w:rsid w:val="009D22F7"/>
    <w:rsid w:val="009D50FB"/>
    <w:rsid w:val="009D68C4"/>
    <w:rsid w:val="009E000E"/>
    <w:rsid w:val="009E01C9"/>
    <w:rsid w:val="009E14E1"/>
    <w:rsid w:val="009E1A57"/>
    <w:rsid w:val="009E1DDB"/>
    <w:rsid w:val="009E31BA"/>
    <w:rsid w:val="009E3C0B"/>
    <w:rsid w:val="009E5DC6"/>
    <w:rsid w:val="009E7803"/>
    <w:rsid w:val="009F08CA"/>
    <w:rsid w:val="009F18DE"/>
    <w:rsid w:val="009F47E3"/>
    <w:rsid w:val="009F5641"/>
    <w:rsid w:val="009F6E61"/>
    <w:rsid w:val="009F7198"/>
    <w:rsid w:val="00A02547"/>
    <w:rsid w:val="00A04821"/>
    <w:rsid w:val="00A04C9C"/>
    <w:rsid w:val="00A050C3"/>
    <w:rsid w:val="00A06CF4"/>
    <w:rsid w:val="00A135B7"/>
    <w:rsid w:val="00A1522D"/>
    <w:rsid w:val="00A1557A"/>
    <w:rsid w:val="00A15CA6"/>
    <w:rsid w:val="00A1667A"/>
    <w:rsid w:val="00A17E50"/>
    <w:rsid w:val="00A17F89"/>
    <w:rsid w:val="00A25529"/>
    <w:rsid w:val="00A30BE7"/>
    <w:rsid w:val="00A34CE6"/>
    <w:rsid w:val="00A35416"/>
    <w:rsid w:val="00A35EF1"/>
    <w:rsid w:val="00A37361"/>
    <w:rsid w:val="00A419DF"/>
    <w:rsid w:val="00A43A12"/>
    <w:rsid w:val="00A46230"/>
    <w:rsid w:val="00A46AC6"/>
    <w:rsid w:val="00A46AE8"/>
    <w:rsid w:val="00A51F84"/>
    <w:rsid w:val="00A528CF"/>
    <w:rsid w:val="00A60844"/>
    <w:rsid w:val="00A61222"/>
    <w:rsid w:val="00A617E5"/>
    <w:rsid w:val="00A61CF8"/>
    <w:rsid w:val="00A62443"/>
    <w:rsid w:val="00A62B51"/>
    <w:rsid w:val="00A62F25"/>
    <w:rsid w:val="00A64484"/>
    <w:rsid w:val="00A674B0"/>
    <w:rsid w:val="00A67E72"/>
    <w:rsid w:val="00A721DC"/>
    <w:rsid w:val="00A72624"/>
    <w:rsid w:val="00A72637"/>
    <w:rsid w:val="00A72D5D"/>
    <w:rsid w:val="00A7317D"/>
    <w:rsid w:val="00A73737"/>
    <w:rsid w:val="00A73AA6"/>
    <w:rsid w:val="00A74B21"/>
    <w:rsid w:val="00A74C12"/>
    <w:rsid w:val="00A77AD3"/>
    <w:rsid w:val="00A77AF9"/>
    <w:rsid w:val="00A804F5"/>
    <w:rsid w:val="00A8158C"/>
    <w:rsid w:val="00A81BCB"/>
    <w:rsid w:val="00A8352F"/>
    <w:rsid w:val="00A83E97"/>
    <w:rsid w:val="00A84651"/>
    <w:rsid w:val="00A857E6"/>
    <w:rsid w:val="00A8587B"/>
    <w:rsid w:val="00A91A69"/>
    <w:rsid w:val="00A9279A"/>
    <w:rsid w:val="00A93940"/>
    <w:rsid w:val="00A93BD9"/>
    <w:rsid w:val="00A9561C"/>
    <w:rsid w:val="00A97454"/>
    <w:rsid w:val="00AA0F0C"/>
    <w:rsid w:val="00AA1595"/>
    <w:rsid w:val="00AA27BF"/>
    <w:rsid w:val="00AA4365"/>
    <w:rsid w:val="00AB0F58"/>
    <w:rsid w:val="00AB2155"/>
    <w:rsid w:val="00AB3688"/>
    <w:rsid w:val="00AB750F"/>
    <w:rsid w:val="00AB7579"/>
    <w:rsid w:val="00AC2027"/>
    <w:rsid w:val="00AC2167"/>
    <w:rsid w:val="00AC2175"/>
    <w:rsid w:val="00AC3F0F"/>
    <w:rsid w:val="00AC53F8"/>
    <w:rsid w:val="00AD0F53"/>
    <w:rsid w:val="00AD0FAC"/>
    <w:rsid w:val="00AD2544"/>
    <w:rsid w:val="00AD285B"/>
    <w:rsid w:val="00AD4793"/>
    <w:rsid w:val="00AD688D"/>
    <w:rsid w:val="00AE2566"/>
    <w:rsid w:val="00AE25FA"/>
    <w:rsid w:val="00AE3803"/>
    <w:rsid w:val="00AE5242"/>
    <w:rsid w:val="00AE5259"/>
    <w:rsid w:val="00AE7E3B"/>
    <w:rsid w:val="00AF011B"/>
    <w:rsid w:val="00AF0221"/>
    <w:rsid w:val="00AF0648"/>
    <w:rsid w:val="00AF122C"/>
    <w:rsid w:val="00AF268D"/>
    <w:rsid w:val="00AF2BA4"/>
    <w:rsid w:val="00AF344B"/>
    <w:rsid w:val="00AF38CF"/>
    <w:rsid w:val="00AF3B81"/>
    <w:rsid w:val="00AF4260"/>
    <w:rsid w:val="00AF4C56"/>
    <w:rsid w:val="00AF57FD"/>
    <w:rsid w:val="00AF6BBE"/>
    <w:rsid w:val="00B00111"/>
    <w:rsid w:val="00B02DA7"/>
    <w:rsid w:val="00B0388A"/>
    <w:rsid w:val="00B0497F"/>
    <w:rsid w:val="00B06CBF"/>
    <w:rsid w:val="00B07A1D"/>
    <w:rsid w:val="00B10363"/>
    <w:rsid w:val="00B11E25"/>
    <w:rsid w:val="00B12AB9"/>
    <w:rsid w:val="00B16759"/>
    <w:rsid w:val="00B17152"/>
    <w:rsid w:val="00B1766D"/>
    <w:rsid w:val="00B20083"/>
    <w:rsid w:val="00B20878"/>
    <w:rsid w:val="00B20E6A"/>
    <w:rsid w:val="00B2291C"/>
    <w:rsid w:val="00B23367"/>
    <w:rsid w:val="00B24C5C"/>
    <w:rsid w:val="00B2516C"/>
    <w:rsid w:val="00B252B3"/>
    <w:rsid w:val="00B254E3"/>
    <w:rsid w:val="00B25738"/>
    <w:rsid w:val="00B26031"/>
    <w:rsid w:val="00B27AC5"/>
    <w:rsid w:val="00B27D03"/>
    <w:rsid w:val="00B302A3"/>
    <w:rsid w:val="00B30D44"/>
    <w:rsid w:val="00B322BD"/>
    <w:rsid w:val="00B32A84"/>
    <w:rsid w:val="00B3584C"/>
    <w:rsid w:val="00B35CBF"/>
    <w:rsid w:val="00B370D3"/>
    <w:rsid w:val="00B37380"/>
    <w:rsid w:val="00B37B07"/>
    <w:rsid w:val="00B4004E"/>
    <w:rsid w:val="00B40456"/>
    <w:rsid w:val="00B4055E"/>
    <w:rsid w:val="00B413D5"/>
    <w:rsid w:val="00B419AA"/>
    <w:rsid w:val="00B41A67"/>
    <w:rsid w:val="00B423E9"/>
    <w:rsid w:val="00B46DAE"/>
    <w:rsid w:val="00B51998"/>
    <w:rsid w:val="00B51BB7"/>
    <w:rsid w:val="00B560C7"/>
    <w:rsid w:val="00B56C11"/>
    <w:rsid w:val="00B579DB"/>
    <w:rsid w:val="00B57E93"/>
    <w:rsid w:val="00B616BC"/>
    <w:rsid w:val="00B61AC9"/>
    <w:rsid w:val="00B62879"/>
    <w:rsid w:val="00B649E0"/>
    <w:rsid w:val="00B64A56"/>
    <w:rsid w:val="00B66120"/>
    <w:rsid w:val="00B677FF"/>
    <w:rsid w:val="00B67A63"/>
    <w:rsid w:val="00B67E40"/>
    <w:rsid w:val="00B72C1C"/>
    <w:rsid w:val="00B76AA1"/>
    <w:rsid w:val="00B76AC1"/>
    <w:rsid w:val="00B90E2E"/>
    <w:rsid w:val="00B91F47"/>
    <w:rsid w:val="00B921C6"/>
    <w:rsid w:val="00B92A62"/>
    <w:rsid w:val="00B93E2D"/>
    <w:rsid w:val="00B93E3B"/>
    <w:rsid w:val="00B952E1"/>
    <w:rsid w:val="00B96734"/>
    <w:rsid w:val="00B9736A"/>
    <w:rsid w:val="00B97A7A"/>
    <w:rsid w:val="00BA49B5"/>
    <w:rsid w:val="00BA5600"/>
    <w:rsid w:val="00BA6573"/>
    <w:rsid w:val="00BA71BB"/>
    <w:rsid w:val="00BA79E5"/>
    <w:rsid w:val="00BB29EA"/>
    <w:rsid w:val="00BB59C2"/>
    <w:rsid w:val="00BB5BCF"/>
    <w:rsid w:val="00BB7C16"/>
    <w:rsid w:val="00BC011F"/>
    <w:rsid w:val="00BC2BC8"/>
    <w:rsid w:val="00BC3BCB"/>
    <w:rsid w:val="00BC63B7"/>
    <w:rsid w:val="00BC7B8C"/>
    <w:rsid w:val="00BD0BF0"/>
    <w:rsid w:val="00BD2B8A"/>
    <w:rsid w:val="00BD4055"/>
    <w:rsid w:val="00BD4F10"/>
    <w:rsid w:val="00BD698F"/>
    <w:rsid w:val="00BE0063"/>
    <w:rsid w:val="00BE0C57"/>
    <w:rsid w:val="00BE6535"/>
    <w:rsid w:val="00BE6915"/>
    <w:rsid w:val="00BE6BB6"/>
    <w:rsid w:val="00BF1781"/>
    <w:rsid w:val="00BF1BF6"/>
    <w:rsid w:val="00BF388F"/>
    <w:rsid w:val="00BF3B29"/>
    <w:rsid w:val="00BF487E"/>
    <w:rsid w:val="00BF4E3A"/>
    <w:rsid w:val="00C003CD"/>
    <w:rsid w:val="00C003E3"/>
    <w:rsid w:val="00C01A80"/>
    <w:rsid w:val="00C038C2"/>
    <w:rsid w:val="00C038DB"/>
    <w:rsid w:val="00C041DE"/>
    <w:rsid w:val="00C06E6E"/>
    <w:rsid w:val="00C105D7"/>
    <w:rsid w:val="00C1183C"/>
    <w:rsid w:val="00C11968"/>
    <w:rsid w:val="00C1241A"/>
    <w:rsid w:val="00C14FFE"/>
    <w:rsid w:val="00C1512B"/>
    <w:rsid w:val="00C15C3B"/>
    <w:rsid w:val="00C16F86"/>
    <w:rsid w:val="00C21E96"/>
    <w:rsid w:val="00C251CD"/>
    <w:rsid w:val="00C25C89"/>
    <w:rsid w:val="00C30C3E"/>
    <w:rsid w:val="00C421EE"/>
    <w:rsid w:val="00C435FA"/>
    <w:rsid w:val="00C45435"/>
    <w:rsid w:val="00C45FC6"/>
    <w:rsid w:val="00C507E4"/>
    <w:rsid w:val="00C51917"/>
    <w:rsid w:val="00C5257D"/>
    <w:rsid w:val="00C52D36"/>
    <w:rsid w:val="00C54AA5"/>
    <w:rsid w:val="00C54EAC"/>
    <w:rsid w:val="00C5563D"/>
    <w:rsid w:val="00C64FAD"/>
    <w:rsid w:val="00C65DC5"/>
    <w:rsid w:val="00C673F4"/>
    <w:rsid w:val="00C676E6"/>
    <w:rsid w:val="00C7301F"/>
    <w:rsid w:val="00C74723"/>
    <w:rsid w:val="00C75106"/>
    <w:rsid w:val="00C75869"/>
    <w:rsid w:val="00C76B8E"/>
    <w:rsid w:val="00C77B60"/>
    <w:rsid w:val="00C802E4"/>
    <w:rsid w:val="00C809ED"/>
    <w:rsid w:val="00C80DB6"/>
    <w:rsid w:val="00C81054"/>
    <w:rsid w:val="00C811F6"/>
    <w:rsid w:val="00C82434"/>
    <w:rsid w:val="00C82D95"/>
    <w:rsid w:val="00C8312E"/>
    <w:rsid w:val="00C83994"/>
    <w:rsid w:val="00C8565D"/>
    <w:rsid w:val="00C92A64"/>
    <w:rsid w:val="00C95659"/>
    <w:rsid w:val="00C97702"/>
    <w:rsid w:val="00CA3D20"/>
    <w:rsid w:val="00CA4080"/>
    <w:rsid w:val="00CA4486"/>
    <w:rsid w:val="00CA46BA"/>
    <w:rsid w:val="00CA4C11"/>
    <w:rsid w:val="00CB09DF"/>
    <w:rsid w:val="00CB0E79"/>
    <w:rsid w:val="00CB16AB"/>
    <w:rsid w:val="00CB3330"/>
    <w:rsid w:val="00CB34D2"/>
    <w:rsid w:val="00CB3FF8"/>
    <w:rsid w:val="00CB58B3"/>
    <w:rsid w:val="00CB5F5D"/>
    <w:rsid w:val="00CB6337"/>
    <w:rsid w:val="00CB67C2"/>
    <w:rsid w:val="00CC164A"/>
    <w:rsid w:val="00CC3DEF"/>
    <w:rsid w:val="00CC73A9"/>
    <w:rsid w:val="00CC754C"/>
    <w:rsid w:val="00CD18E2"/>
    <w:rsid w:val="00CD20BE"/>
    <w:rsid w:val="00CD278B"/>
    <w:rsid w:val="00CD3493"/>
    <w:rsid w:val="00CD4CB9"/>
    <w:rsid w:val="00CD512E"/>
    <w:rsid w:val="00CD56C5"/>
    <w:rsid w:val="00CD5F82"/>
    <w:rsid w:val="00CD7064"/>
    <w:rsid w:val="00CD7A63"/>
    <w:rsid w:val="00CE160C"/>
    <w:rsid w:val="00CE497C"/>
    <w:rsid w:val="00CE5425"/>
    <w:rsid w:val="00CF12BD"/>
    <w:rsid w:val="00CF18DE"/>
    <w:rsid w:val="00CF2BD7"/>
    <w:rsid w:val="00CF42BD"/>
    <w:rsid w:val="00CF520A"/>
    <w:rsid w:val="00D00C50"/>
    <w:rsid w:val="00D014A2"/>
    <w:rsid w:val="00D047A1"/>
    <w:rsid w:val="00D11196"/>
    <w:rsid w:val="00D11259"/>
    <w:rsid w:val="00D14257"/>
    <w:rsid w:val="00D14A35"/>
    <w:rsid w:val="00D15065"/>
    <w:rsid w:val="00D1766D"/>
    <w:rsid w:val="00D21723"/>
    <w:rsid w:val="00D23F8B"/>
    <w:rsid w:val="00D24420"/>
    <w:rsid w:val="00D24FF1"/>
    <w:rsid w:val="00D26A44"/>
    <w:rsid w:val="00D27D84"/>
    <w:rsid w:val="00D3055B"/>
    <w:rsid w:val="00D30582"/>
    <w:rsid w:val="00D3154F"/>
    <w:rsid w:val="00D339CA"/>
    <w:rsid w:val="00D34053"/>
    <w:rsid w:val="00D34468"/>
    <w:rsid w:val="00D34E83"/>
    <w:rsid w:val="00D413F5"/>
    <w:rsid w:val="00D41D31"/>
    <w:rsid w:val="00D4222B"/>
    <w:rsid w:val="00D43001"/>
    <w:rsid w:val="00D44485"/>
    <w:rsid w:val="00D44CE7"/>
    <w:rsid w:val="00D44F98"/>
    <w:rsid w:val="00D45378"/>
    <w:rsid w:val="00D46C60"/>
    <w:rsid w:val="00D47BD3"/>
    <w:rsid w:val="00D518A5"/>
    <w:rsid w:val="00D51C4B"/>
    <w:rsid w:val="00D52CE4"/>
    <w:rsid w:val="00D53FFF"/>
    <w:rsid w:val="00D54F32"/>
    <w:rsid w:val="00D56843"/>
    <w:rsid w:val="00D6393F"/>
    <w:rsid w:val="00D63C47"/>
    <w:rsid w:val="00D66033"/>
    <w:rsid w:val="00D667F3"/>
    <w:rsid w:val="00D7033A"/>
    <w:rsid w:val="00D70711"/>
    <w:rsid w:val="00D7080C"/>
    <w:rsid w:val="00D7198D"/>
    <w:rsid w:val="00D737BD"/>
    <w:rsid w:val="00D74F2A"/>
    <w:rsid w:val="00D75820"/>
    <w:rsid w:val="00D760EB"/>
    <w:rsid w:val="00D76BF9"/>
    <w:rsid w:val="00D8142D"/>
    <w:rsid w:val="00D826F7"/>
    <w:rsid w:val="00D8552B"/>
    <w:rsid w:val="00D86310"/>
    <w:rsid w:val="00D87A13"/>
    <w:rsid w:val="00D90D4F"/>
    <w:rsid w:val="00D9504F"/>
    <w:rsid w:val="00D9773F"/>
    <w:rsid w:val="00DA0716"/>
    <w:rsid w:val="00DA1687"/>
    <w:rsid w:val="00DA1B32"/>
    <w:rsid w:val="00DA28A1"/>
    <w:rsid w:val="00DA2913"/>
    <w:rsid w:val="00DB097F"/>
    <w:rsid w:val="00DB26EE"/>
    <w:rsid w:val="00DB30F0"/>
    <w:rsid w:val="00DB50E7"/>
    <w:rsid w:val="00DB58E0"/>
    <w:rsid w:val="00DC03B9"/>
    <w:rsid w:val="00DC070F"/>
    <w:rsid w:val="00DC1BD1"/>
    <w:rsid w:val="00DC1F5E"/>
    <w:rsid w:val="00DC2585"/>
    <w:rsid w:val="00DC31AD"/>
    <w:rsid w:val="00DC3E39"/>
    <w:rsid w:val="00DC5565"/>
    <w:rsid w:val="00DC6DAB"/>
    <w:rsid w:val="00DC7016"/>
    <w:rsid w:val="00DC75BC"/>
    <w:rsid w:val="00DD3031"/>
    <w:rsid w:val="00DD40D6"/>
    <w:rsid w:val="00DD4878"/>
    <w:rsid w:val="00DD7435"/>
    <w:rsid w:val="00DE070F"/>
    <w:rsid w:val="00DE07A0"/>
    <w:rsid w:val="00DE0859"/>
    <w:rsid w:val="00DE116F"/>
    <w:rsid w:val="00DE54A7"/>
    <w:rsid w:val="00DE5E0C"/>
    <w:rsid w:val="00DF1870"/>
    <w:rsid w:val="00DF5871"/>
    <w:rsid w:val="00DF64A6"/>
    <w:rsid w:val="00E03DBB"/>
    <w:rsid w:val="00E04DBA"/>
    <w:rsid w:val="00E059F8"/>
    <w:rsid w:val="00E07D8C"/>
    <w:rsid w:val="00E13C0C"/>
    <w:rsid w:val="00E147B4"/>
    <w:rsid w:val="00E14BCC"/>
    <w:rsid w:val="00E15555"/>
    <w:rsid w:val="00E1657D"/>
    <w:rsid w:val="00E17689"/>
    <w:rsid w:val="00E20381"/>
    <w:rsid w:val="00E215D3"/>
    <w:rsid w:val="00E21D8F"/>
    <w:rsid w:val="00E22A86"/>
    <w:rsid w:val="00E25322"/>
    <w:rsid w:val="00E26C79"/>
    <w:rsid w:val="00E26FA5"/>
    <w:rsid w:val="00E2706E"/>
    <w:rsid w:val="00E27267"/>
    <w:rsid w:val="00E27613"/>
    <w:rsid w:val="00E30135"/>
    <w:rsid w:val="00E302D6"/>
    <w:rsid w:val="00E30442"/>
    <w:rsid w:val="00E35007"/>
    <w:rsid w:val="00E353FC"/>
    <w:rsid w:val="00E366DD"/>
    <w:rsid w:val="00E368F8"/>
    <w:rsid w:val="00E36A4C"/>
    <w:rsid w:val="00E378F0"/>
    <w:rsid w:val="00E459C8"/>
    <w:rsid w:val="00E4614A"/>
    <w:rsid w:val="00E46B2B"/>
    <w:rsid w:val="00E46D85"/>
    <w:rsid w:val="00E5058D"/>
    <w:rsid w:val="00E50F03"/>
    <w:rsid w:val="00E511C1"/>
    <w:rsid w:val="00E532D7"/>
    <w:rsid w:val="00E5344F"/>
    <w:rsid w:val="00E54E6E"/>
    <w:rsid w:val="00E5659A"/>
    <w:rsid w:val="00E56838"/>
    <w:rsid w:val="00E57B75"/>
    <w:rsid w:val="00E63051"/>
    <w:rsid w:val="00E65E2C"/>
    <w:rsid w:val="00E673E8"/>
    <w:rsid w:val="00E70942"/>
    <w:rsid w:val="00E73BD6"/>
    <w:rsid w:val="00E757EE"/>
    <w:rsid w:val="00E7671A"/>
    <w:rsid w:val="00E76E59"/>
    <w:rsid w:val="00E8185D"/>
    <w:rsid w:val="00E8319C"/>
    <w:rsid w:val="00E842CB"/>
    <w:rsid w:val="00E84949"/>
    <w:rsid w:val="00E84DE4"/>
    <w:rsid w:val="00E8662F"/>
    <w:rsid w:val="00E8745D"/>
    <w:rsid w:val="00E9040C"/>
    <w:rsid w:val="00E912E6"/>
    <w:rsid w:val="00E92499"/>
    <w:rsid w:val="00E9363B"/>
    <w:rsid w:val="00E97E30"/>
    <w:rsid w:val="00EA04EA"/>
    <w:rsid w:val="00EA0E27"/>
    <w:rsid w:val="00EA23A3"/>
    <w:rsid w:val="00EA3483"/>
    <w:rsid w:val="00EA3A34"/>
    <w:rsid w:val="00EA460D"/>
    <w:rsid w:val="00EA5B39"/>
    <w:rsid w:val="00EA69EB"/>
    <w:rsid w:val="00EB1269"/>
    <w:rsid w:val="00EB126D"/>
    <w:rsid w:val="00EB159B"/>
    <w:rsid w:val="00EB413F"/>
    <w:rsid w:val="00EB47E3"/>
    <w:rsid w:val="00EB4C84"/>
    <w:rsid w:val="00EB7FC0"/>
    <w:rsid w:val="00EC0F85"/>
    <w:rsid w:val="00EC4328"/>
    <w:rsid w:val="00EC464B"/>
    <w:rsid w:val="00EC52E4"/>
    <w:rsid w:val="00EC5A0A"/>
    <w:rsid w:val="00EC7580"/>
    <w:rsid w:val="00ED2686"/>
    <w:rsid w:val="00ED4912"/>
    <w:rsid w:val="00ED6D9A"/>
    <w:rsid w:val="00EE01D7"/>
    <w:rsid w:val="00EE3627"/>
    <w:rsid w:val="00EE3AA2"/>
    <w:rsid w:val="00EE44E4"/>
    <w:rsid w:val="00EE5FA0"/>
    <w:rsid w:val="00EE7A23"/>
    <w:rsid w:val="00EF0F52"/>
    <w:rsid w:val="00EF1DA0"/>
    <w:rsid w:val="00EF1F53"/>
    <w:rsid w:val="00EF201F"/>
    <w:rsid w:val="00EF2B1E"/>
    <w:rsid w:val="00EF4776"/>
    <w:rsid w:val="00EF51EE"/>
    <w:rsid w:val="00EF5211"/>
    <w:rsid w:val="00EF6C4D"/>
    <w:rsid w:val="00EF7863"/>
    <w:rsid w:val="00EF7DA0"/>
    <w:rsid w:val="00EF7EE2"/>
    <w:rsid w:val="00F008C8"/>
    <w:rsid w:val="00F01206"/>
    <w:rsid w:val="00F015FC"/>
    <w:rsid w:val="00F0175F"/>
    <w:rsid w:val="00F01B83"/>
    <w:rsid w:val="00F02C9C"/>
    <w:rsid w:val="00F03AFA"/>
    <w:rsid w:val="00F044C8"/>
    <w:rsid w:val="00F046BF"/>
    <w:rsid w:val="00F07F2D"/>
    <w:rsid w:val="00F10DAB"/>
    <w:rsid w:val="00F112C3"/>
    <w:rsid w:val="00F115DF"/>
    <w:rsid w:val="00F15190"/>
    <w:rsid w:val="00F165F8"/>
    <w:rsid w:val="00F1670B"/>
    <w:rsid w:val="00F20C35"/>
    <w:rsid w:val="00F216CA"/>
    <w:rsid w:val="00F22527"/>
    <w:rsid w:val="00F2272B"/>
    <w:rsid w:val="00F2358E"/>
    <w:rsid w:val="00F24C01"/>
    <w:rsid w:val="00F26644"/>
    <w:rsid w:val="00F27F29"/>
    <w:rsid w:val="00F30C1D"/>
    <w:rsid w:val="00F30E1C"/>
    <w:rsid w:val="00F31906"/>
    <w:rsid w:val="00F3283E"/>
    <w:rsid w:val="00F32D7B"/>
    <w:rsid w:val="00F32EC5"/>
    <w:rsid w:val="00F34159"/>
    <w:rsid w:val="00F34A6E"/>
    <w:rsid w:val="00F3587F"/>
    <w:rsid w:val="00F36624"/>
    <w:rsid w:val="00F3733C"/>
    <w:rsid w:val="00F37FD3"/>
    <w:rsid w:val="00F400C0"/>
    <w:rsid w:val="00F4110E"/>
    <w:rsid w:val="00F41888"/>
    <w:rsid w:val="00F419AD"/>
    <w:rsid w:val="00F420B3"/>
    <w:rsid w:val="00F428DA"/>
    <w:rsid w:val="00F433EB"/>
    <w:rsid w:val="00F442B0"/>
    <w:rsid w:val="00F454E2"/>
    <w:rsid w:val="00F50E96"/>
    <w:rsid w:val="00F520DB"/>
    <w:rsid w:val="00F542D8"/>
    <w:rsid w:val="00F54A86"/>
    <w:rsid w:val="00F557D7"/>
    <w:rsid w:val="00F56373"/>
    <w:rsid w:val="00F60641"/>
    <w:rsid w:val="00F60B0C"/>
    <w:rsid w:val="00F614DF"/>
    <w:rsid w:val="00F645B1"/>
    <w:rsid w:val="00F71325"/>
    <w:rsid w:val="00F714F4"/>
    <w:rsid w:val="00F7189F"/>
    <w:rsid w:val="00F74433"/>
    <w:rsid w:val="00F75B0A"/>
    <w:rsid w:val="00F772E5"/>
    <w:rsid w:val="00F814C1"/>
    <w:rsid w:val="00F82F09"/>
    <w:rsid w:val="00F877BF"/>
    <w:rsid w:val="00F87AB2"/>
    <w:rsid w:val="00F9124C"/>
    <w:rsid w:val="00F92CD8"/>
    <w:rsid w:val="00F92ED5"/>
    <w:rsid w:val="00F945A3"/>
    <w:rsid w:val="00FA005F"/>
    <w:rsid w:val="00FA0793"/>
    <w:rsid w:val="00FA08C7"/>
    <w:rsid w:val="00FA0D0E"/>
    <w:rsid w:val="00FA11DA"/>
    <w:rsid w:val="00FA3230"/>
    <w:rsid w:val="00FA3B98"/>
    <w:rsid w:val="00FA5812"/>
    <w:rsid w:val="00FA5D7B"/>
    <w:rsid w:val="00FA6F45"/>
    <w:rsid w:val="00FB03A1"/>
    <w:rsid w:val="00FB0D40"/>
    <w:rsid w:val="00FB187F"/>
    <w:rsid w:val="00FB2DEE"/>
    <w:rsid w:val="00FB4839"/>
    <w:rsid w:val="00FB59E3"/>
    <w:rsid w:val="00FB5F32"/>
    <w:rsid w:val="00FB6289"/>
    <w:rsid w:val="00FB62B8"/>
    <w:rsid w:val="00FB76E5"/>
    <w:rsid w:val="00FB7A01"/>
    <w:rsid w:val="00FB7B9D"/>
    <w:rsid w:val="00FC3796"/>
    <w:rsid w:val="00FC394D"/>
    <w:rsid w:val="00FC45A1"/>
    <w:rsid w:val="00FC560C"/>
    <w:rsid w:val="00FD05D8"/>
    <w:rsid w:val="00FD0C4A"/>
    <w:rsid w:val="00FD2C0A"/>
    <w:rsid w:val="00FD327C"/>
    <w:rsid w:val="00FD38D9"/>
    <w:rsid w:val="00FD3C99"/>
    <w:rsid w:val="00FD4C08"/>
    <w:rsid w:val="00FD5AC1"/>
    <w:rsid w:val="00FD60F3"/>
    <w:rsid w:val="00FD66EA"/>
    <w:rsid w:val="00FD7BC1"/>
    <w:rsid w:val="00FE0173"/>
    <w:rsid w:val="00FE0354"/>
    <w:rsid w:val="00FE047B"/>
    <w:rsid w:val="00FE2CE8"/>
    <w:rsid w:val="00FE5EFC"/>
    <w:rsid w:val="00FE6381"/>
    <w:rsid w:val="00FF0FBC"/>
    <w:rsid w:val="00FF34E0"/>
    <w:rsid w:val="00FF59C3"/>
    <w:rsid w:val="00FF6D90"/>
    <w:rsid w:val="1D834A03"/>
    <w:rsid w:val="1FA24B09"/>
    <w:rsid w:val="4B1F733B"/>
    <w:rsid w:val="5A0C7E64"/>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E100F"/>
  <w15:docId w15:val="{6953AFCE-D6D1-47B8-8B9B-89362F0C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locked="1" w:semiHidden="1" w:uiPriority="0" w:unhideWhenUsed="1" w:qFormat="1"/>
    <w:lsdException w:name="heading 4" w:qFormat="1"/>
    <w:lsdException w:name="heading 5"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qFormat="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olor w:val="000000"/>
      <w:sz w:val="24"/>
    </w:rPr>
  </w:style>
  <w:style w:type="paragraph" w:styleId="Ttulo1">
    <w:name w:val="heading 1"/>
    <w:basedOn w:val="Normal"/>
    <w:next w:val="Normal"/>
    <w:link w:val="Ttulo1Car"/>
    <w:uiPriority w:val="99"/>
    <w:qFormat/>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pPr>
      <w:keepNext/>
      <w:keepLines/>
      <w:spacing w:before="40"/>
      <w:outlineLvl w:val="2"/>
    </w:pPr>
    <w:rPr>
      <w:rFonts w:asciiTheme="majorHAnsi" w:eastAsiaTheme="majorEastAsia" w:hAnsiTheme="majorHAnsi" w:cstheme="majorBidi"/>
      <w:color w:val="244061" w:themeColor="accent1" w:themeShade="80"/>
      <w:szCs w:val="24"/>
    </w:rPr>
  </w:style>
  <w:style w:type="paragraph" w:styleId="Ttulo4">
    <w:name w:val="heading 4"/>
    <w:basedOn w:val="Normal"/>
    <w:next w:val="Normal"/>
    <w:link w:val="Ttulo4Car"/>
    <w:uiPriority w:val="99"/>
    <w:qFormat/>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qFormat/>
    <w:rPr>
      <w:rFonts w:cs="Times New Roman"/>
      <w:sz w:val="16"/>
    </w:rPr>
  </w:style>
  <w:style w:type="character" w:styleId="Refdenotaalpie">
    <w:name w:val="footnote reference"/>
    <w:basedOn w:val="Fuentedeprrafopredeter"/>
    <w:uiPriority w:val="99"/>
    <w:semiHidden/>
    <w:unhideWhenUsed/>
    <w:qFormat/>
    <w:rPr>
      <w:vertAlign w:val="superscript"/>
    </w:rPr>
  </w:style>
  <w:style w:type="character" w:styleId="Hipervnculo">
    <w:name w:val="Hyperlink"/>
    <w:basedOn w:val="Fuentedeprrafopredeter"/>
    <w:uiPriority w:val="99"/>
    <w:qFormat/>
    <w:rPr>
      <w:rFonts w:cs="Times New Roman"/>
      <w:color w:val="0000FF"/>
      <w:u w:val="single"/>
    </w:rPr>
  </w:style>
  <w:style w:type="character" w:styleId="Nmerodepgina">
    <w:name w:val="page number"/>
    <w:basedOn w:val="Fuentedeprrafopredeter"/>
    <w:uiPriority w:val="99"/>
    <w:qFormat/>
    <w:rPr>
      <w:rFonts w:cs="Times New Roman"/>
    </w:rPr>
  </w:style>
  <w:style w:type="character" w:styleId="Textoennegrita">
    <w:name w:val="Strong"/>
    <w:basedOn w:val="Fuentedeprrafopredeter"/>
    <w:uiPriority w:val="22"/>
    <w:qFormat/>
    <w:locked/>
    <w:rPr>
      <w:b/>
      <w:bCs/>
    </w:rPr>
  </w:style>
  <w:style w:type="paragraph" w:styleId="Textonotapie">
    <w:name w:val="footnote text"/>
    <w:basedOn w:val="Normal"/>
    <w:link w:val="TextonotapieCar"/>
    <w:uiPriority w:val="99"/>
    <w:semiHidden/>
    <w:unhideWhenUsed/>
    <w:qFormat/>
    <w:rPr>
      <w:sz w:val="20"/>
    </w:rPr>
  </w:style>
  <w:style w:type="paragraph" w:styleId="Asuntodelcomentario">
    <w:name w:val="annotation subject"/>
    <w:basedOn w:val="Textocomentario"/>
    <w:next w:val="Textocomentario"/>
    <w:link w:val="AsuntodelcomentarioCar"/>
    <w:uiPriority w:val="99"/>
    <w:semiHidden/>
    <w:unhideWhenUsed/>
    <w:qFormat/>
    <w:rPr>
      <w:b/>
      <w:bCs/>
    </w:rPr>
  </w:style>
  <w:style w:type="paragraph" w:styleId="Textocomentario">
    <w:name w:val="annotation text"/>
    <w:basedOn w:val="Normal"/>
    <w:link w:val="TextocomentarioCar"/>
    <w:uiPriority w:val="99"/>
    <w:semiHidden/>
    <w:qFormat/>
    <w:rPr>
      <w:sz w:val="20"/>
    </w:rPr>
  </w:style>
  <w:style w:type="paragraph" w:styleId="Textodeglobo">
    <w:name w:val="Balloon Text"/>
    <w:basedOn w:val="Normal"/>
    <w:link w:val="TextodegloboCar"/>
    <w:uiPriority w:val="99"/>
    <w:semiHidden/>
    <w:qFormat/>
    <w:rPr>
      <w:rFonts w:ascii="Tahoma" w:hAnsi="Tahoma" w:cs="Tahoma"/>
      <w:sz w:val="16"/>
      <w:szCs w:val="16"/>
    </w:rPr>
  </w:style>
  <w:style w:type="paragraph" w:styleId="Textoindependiente2">
    <w:name w:val="Body Text 2"/>
    <w:basedOn w:val="Normal"/>
    <w:link w:val="Textoindependiente2Car"/>
    <w:uiPriority w:val="99"/>
    <w:qFormat/>
    <w:pPr>
      <w:spacing w:after="120" w:line="480" w:lineRule="auto"/>
    </w:pPr>
    <w:rPr>
      <w:rFonts w:ascii="Times New Roman" w:hAnsi="Times New Roman"/>
      <w:color w:val="auto"/>
      <w:szCs w:val="24"/>
    </w:rPr>
  </w:style>
  <w:style w:type="paragraph" w:styleId="Encabezado">
    <w:name w:val="header"/>
    <w:basedOn w:val="Normal"/>
    <w:link w:val="EncabezadoCar"/>
    <w:uiPriority w:val="99"/>
    <w:qFormat/>
    <w:pPr>
      <w:tabs>
        <w:tab w:val="center" w:pos="4252"/>
        <w:tab w:val="right" w:pos="8504"/>
      </w:tabs>
    </w:pPr>
  </w:style>
  <w:style w:type="paragraph" w:styleId="NormalWeb">
    <w:name w:val="Normal (Web)"/>
    <w:basedOn w:val="Normal"/>
    <w:uiPriority w:val="99"/>
    <w:unhideWhenUsed/>
    <w:qFormat/>
    <w:pPr>
      <w:spacing w:before="100" w:beforeAutospacing="1" w:after="100" w:afterAutospacing="1"/>
    </w:pPr>
    <w:rPr>
      <w:rFonts w:ascii="Times New Roman" w:hAnsi="Times New Roman"/>
      <w:color w:val="auto"/>
      <w:szCs w:val="24"/>
      <w:lang w:val="es-CO" w:eastAsia="es-CO"/>
    </w:rPr>
  </w:style>
  <w:style w:type="paragraph" w:styleId="Piedepgina">
    <w:name w:val="footer"/>
    <w:basedOn w:val="Normal"/>
    <w:link w:val="PiedepginaCar"/>
    <w:uiPriority w:val="99"/>
    <w:qFormat/>
    <w:pPr>
      <w:tabs>
        <w:tab w:val="center" w:pos="4252"/>
        <w:tab w:val="right" w:pos="8504"/>
      </w:tabs>
    </w:pPr>
  </w:style>
  <w:style w:type="paragraph" w:styleId="Textoindependiente">
    <w:name w:val="Body Text"/>
    <w:basedOn w:val="Normal"/>
    <w:link w:val="TextoindependienteCar"/>
    <w:uiPriority w:val="99"/>
    <w:qFormat/>
    <w:pPr>
      <w:jc w:val="both"/>
    </w:pPr>
    <w:rPr>
      <w:rFonts w:ascii="Times New Roman" w:hAnsi="Times New Roman"/>
      <w:color w:val="auto"/>
      <w:lang w:val="es-MX"/>
    </w:rPr>
  </w:style>
  <w:style w:type="paragraph" w:styleId="Textoindependiente3">
    <w:name w:val="Body Text 3"/>
    <w:basedOn w:val="Normal"/>
    <w:link w:val="Textoindependiente3Car"/>
    <w:uiPriority w:val="99"/>
    <w:qFormat/>
    <w:pPr>
      <w:spacing w:after="120"/>
    </w:pPr>
    <w:rPr>
      <w:sz w:val="16"/>
      <w:szCs w:val="16"/>
    </w:rPr>
  </w:style>
  <w:style w:type="table" w:styleId="Tablaconcuadrcula">
    <w:name w:val="Table Grid"/>
    <w:basedOn w:val="Tabla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9"/>
    <w:qFormat/>
    <w:locked/>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qFormat/>
    <w:locked/>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qFormat/>
    <w:locked/>
    <w:rPr>
      <w:rFonts w:cs="Times New Roman"/>
      <w:b/>
      <w:sz w:val="28"/>
      <w:lang w:val="es-ES" w:eastAsia="es-ES"/>
    </w:rPr>
  </w:style>
  <w:style w:type="character" w:customStyle="1" w:styleId="Ttulo5Car">
    <w:name w:val="Título 5 Car"/>
    <w:basedOn w:val="Fuentedeprrafopredeter"/>
    <w:link w:val="Ttulo5"/>
    <w:uiPriority w:val="99"/>
    <w:semiHidden/>
    <w:qFormat/>
    <w:locked/>
    <w:rPr>
      <w:rFonts w:ascii="Cambria" w:hAnsi="Cambria" w:cs="Times New Roman"/>
      <w:color w:val="243F60"/>
      <w:sz w:val="24"/>
      <w:lang w:val="es-ES" w:eastAsia="es-ES"/>
    </w:rPr>
  </w:style>
  <w:style w:type="character" w:customStyle="1" w:styleId="EncabezadoCar">
    <w:name w:val="Encabezado Car"/>
    <w:basedOn w:val="Fuentedeprrafopredeter"/>
    <w:link w:val="Encabezado"/>
    <w:uiPriority w:val="99"/>
    <w:semiHidden/>
    <w:qFormat/>
    <w:locked/>
    <w:rPr>
      <w:rFonts w:ascii="Arial" w:hAnsi="Arial" w:cs="Times New Roman"/>
      <w:color w:val="000000"/>
      <w:sz w:val="20"/>
      <w:szCs w:val="20"/>
    </w:rPr>
  </w:style>
  <w:style w:type="character" w:customStyle="1" w:styleId="PiedepginaCar">
    <w:name w:val="Pie de página Car"/>
    <w:basedOn w:val="Fuentedeprrafopredeter"/>
    <w:link w:val="Piedepgina"/>
    <w:uiPriority w:val="99"/>
    <w:qFormat/>
    <w:locked/>
    <w:rPr>
      <w:rFonts w:ascii="Arial" w:hAnsi="Arial" w:cs="Times New Roman"/>
      <w:color w:val="000000"/>
      <w:sz w:val="20"/>
      <w:szCs w:val="20"/>
    </w:rPr>
  </w:style>
  <w:style w:type="character" w:customStyle="1" w:styleId="TextoindependienteCar">
    <w:name w:val="Texto independiente Car"/>
    <w:basedOn w:val="Fuentedeprrafopredeter"/>
    <w:link w:val="Textoindependiente"/>
    <w:uiPriority w:val="99"/>
    <w:semiHidden/>
    <w:qFormat/>
    <w:locked/>
    <w:rPr>
      <w:rFonts w:ascii="Arial" w:hAnsi="Arial" w:cs="Times New Roman"/>
      <w:color w:val="000000"/>
      <w:sz w:val="20"/>
      <w:szCs w:val="20"/>
    </w:rPr>
  </w:style>
  <w:style w:type="character" w:customStyle="1" w:styleId="TextocomentarioCar">
    <w:name w:val="Texto comentario Car"/>
    <w:basedOn w:val="Fuentedeprrafopredeter"/>
    <w:link w:val="Textocomentario"/>
    <w:uiPriority w:val="99"/>
    <w:semiHidden/>
    <w:qFormat/>
    <w:locked/>
    <w:rPr>
      <w:rFonts w:ascii="Arial" w:hAnsi="Arial" w:cs="Times New Roman"/>
      <w:color w:val="000000"/>
      <w:sz w:val="20"/>
      <w:szCs w:val="20"/>
    </w:rPr>
  </w:style>
  <w:style w:type="character" w:customStyle="1" w:styleId="Textoindependiente2Car">
    <w:name w:val="Texto independiente 2 Car"/>
    <w:basedOn w:val="Fuentedeprrafopredeter"/>
    <w:link w:val="Textoindependiente2"/>
    <w:uiPriority w:val="99"/>
    <w:semiHidden/>
    <w:qFormat/>
    <w:locked/>
    <w:rPr>
      <w:rFonts w:ascii="Arial" w:hAnsi="Arial" w:cs="Times New Roman"/>
      <w:color w:val="000000"/>
      <w:sz w:val="20"/>
      <w:szCs w:val="20"/>
    </w:rPr>
  </w:style>
  <w:style w:type="character" w:customStyle="1" w:styleId="Textoindependiente3Car">
    <w:name w:val="Texto independiente 3 Car"/>
    <w:basedOn w:val="Fuentedeprrafopredeter"/>
    <w:link w:val="Textoindependiente3"/>
    <w:uiPriority w:val="99"/>
    <w:semiHidden/>
    <w:qFormat/>
    <w:locked/>
    <w:rPr>
      <w:rFonts w:ascii="Arial" w:hAnsi="Arial" w:cs="Times New Roman"/>
      <w:color w:val="000000"/>
      <w:sz w:val="16"/>
      <w:szCs w:val="16"/>
    </w:rPr>
  </w:style>
  <w:style w:type="character" w:customStyle="1" w:styleId="TextodegloboCar">
    <w:name w:val="Texto de globo Car"/>
    <w:basedOn w:val="Fuentedeprrafopredeter"/>
    <w:link w:val="Textodeglobo"/>
    <w:uiPriority w:val="99"/>
    <w:semiHidden/>
    <w:qFormat/>
    <w:locked/>
    <w:rPr>
      <w:rFonts w:cs="Times New Roman"/>
      <w:color w:val="000000"/>
      <w:sz w:val="2"/>
    </w:rPr>
  </w:style>
  <w:style w:type="paragraph" w:styleId="Prrafodelista">
    <w:name w:val="List Paragraph"/>
    <w:basedOn w:val="Normal"/>
    <w:uiPriority w:val="34"/>
    <w:qFormat/>
    <w:pPr>
      <w:ind w:left="708"/>
    </w:pPr>
  </w:style>
  <w:style w:type="paragraph" w:customStyle="1" w:styleId="Table">
    <w:name w:val="Table"/>
    <w:basedOn w:val="Normal"/>
    <w:uiPriority w:val="99"/>
    <w:qFormat/>
    <w:pPr>
      <w:spacing w:before="40" w:after="40"/>
      <w:ind w:left="4" w:hanging="4"/>
    </w:pPr>
    <w:rPr>
      <w:b/>
      <w:sz w:val="20"/>
      <w:lang w:val="en-GB" w:eastAsia="en-US"/>
    </w:rPr>
  </w:style>
  <w:style w:type="character" w:customStyle="1" w:styleId="Ttulo3Car">
    <w:name w:val="Título 3 Car"/>
    <w:basedOn w:val="Fuentedeprrafopredeter"/>
    <w:link w:val="Ttulo3"/>
    <w:semiHidden/>
    <w:qFormat/>
    <w:rPr>
      <w:rFonts w:asciiTheme="majorHAnsi" w:eastAsiaTheme="majorEastAsia" w:hAnsiTheme="majorHAnsi" w:cstheme="majorBidi"/>
      <w:color w:val="244061" w:themeColor="accent1" w:themeShade="80"/>
      <w:sz w:val="24"/>
      <w:szCs w:val="24"/>
    </w:rPr>
  </w:style>
  <w:style w:type="character" w:customStyle="1" w:styleId="TextonotapieCar">
    <w:name w:val="Texto nota pie Car"/>
    <w:basedOn w:val="Fuentedeprrafopredeter"/>
    <w:link w:val="Textonotapie"/>
    <w:uiPriority w:val="99"/>
    <w:semiHidden/>
    <w:qFormat/>
    <w:rPr>
      <w:rFonts w:ascii="Arial" w:hAnsi="Arial"/>
      <w:color w:val="000000"/>
    </w:rPr>
  </w:style>
  <w:style w:type="character" w:customStyle="1" w:styleId="Mencinsinresolver1">
    <w:name w:val="Mención sin resolver1"/>
    <w:basedOn w:val="Fuentedeprrafopredeter"/>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hAnsi="Calibri" w:cs="Calibri"/>
      <w:color w:val="000000"/>
      <w:sz w:val="24"/>
      <w:szCs w:val="24"/>
      <w:lang w:val="es-CO"/>
    </w:rPr>
  </w:style>
  <w:style w:type="table" w:customStyle="1" w:styleId="Tablaconcuadrcula1clara1">
    <w:name w:val="Tabla con cuadrícula 1 clara1"/>
    <w:basedOn w:val="Tablanormal"/>
    <w:uiPriority w:val="46"/>
    <w:qFormat/>
    <w:rPr>
      <w:rFonts w:asciiTheme="minorHAnsi" w:eastAsiaTheme="minorEastAsia" w:hAnsiTheme="minorHAnsi" w:cstheme="minorBidi"/>
      <w:sz w:val="24"/>
      <w:szCs w:val="24"/>
      <w:lang w:val="es-CO" w:eastAsia="ja-JP"/>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suntodelcomentarioCar">
    <w:name w:val="Asunto del comentario Car"/>
    <w:basedOn w:val="TextocomentarioCar"/>
    <w:link w:val="Asuntodelcomentario"/>
    <w:uiPriority w:val="99"/>
    <w:semiHidden/>
    <w:qFormat/>
    <w:rPr>
      <w:rFonts w:ascii="Arial" w:hAnsi="Arial"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ndrea.aya\OneDrive%20-%20Cruz%20Roja%20Seccional%20Cundinamarca%20y%20Bogota\Documentos\3.%20Propuestas\Proyecto%20Acuerdo%20UR\Cifra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080" b="0" i="0" u="none" strike="noStrike" kern="1200" spc="0" baseline="0">
                <a:solidFill>
                  <a:sysClr val="windowText" lastClr="000000"/>
                </a:solidFill>
                <a:latin typeface="Times New Roman" panose="02020603050405020304" charset="0"/>
                <a:ea typeface="+mn-ea"/>
                <a:cs typeface="Times New Roman" panose="02020603050405020304" charset="0"/>
              </a:defRPr>
            </a:pPr>
            <a:r>
              <a:rPr lang="es-ES"/>
              <a:t>Comparativo Bomberos por Habitantes</a:t>
            </a:r>
          </a:p>
        </c:rich>
      </c:tx>
      <c:layout/>
      <c:overlay val="0"/>
      <c:spPr>
        <a:noFill/>
        <a:ln>
          <a:noFill/>
        </a:ln>
        <a:effectLst/>
      </c:spPr>
      <c:txPr>
        <a:bodyPr rot="0" spcFirstLastPara="1" vertOverflow="ellipsis" vert="horz" wrap="square" anchor="ctr" anchorCtr="1"/>
        <a:lstStyle/>
        <a:p>
          <a:pPr>
            <a:defRPr lang="es-ES" sz="1080" b="0" i="0" u="none" strike="noStrike" kern="1200" spc="0" baseline="0">
              <a:solidFill>
                <a:sysClr val="windowText" lastClr="000000"/>
              </a:solidFill>
              <a:latin typeface="Times New Roman" panose="02020603050405020304" charset="0"/>
              <a:ea typeface="+mn-ea"/>
              <a:cs typeface="Times New Roman" panose="02020603050405020304" charset="0"/>
            </a:defRPr>
          </a:pPr>
          <a:endParaRPr lang="es-CO"/>
        </a:p>
      </c:txPr>
    </c:title>
    <c:autoTitleDeleted val="0"/>
    <c:plotArea>
      <c:layout>
        <c:manualLayout>
          <c:layoutTarget val="inner"/>
          <c:xMode val="edge"/>
          <c:yMode val="edge"/>
          <c:x val="0.103455344775224"/>
          <c:y val="0.14952630518040699"/>
          <c:w val="0.77325890178591195"/>
          <c:h val="0.67146419235390398"/>
        </c:manualLayout>
      </c:layout>
      <c:barChart>
        <c:barDir val="col"/>
        <c:grouping val="clustered"/>
        <c:varyColors val="0"/>
        <c:ser>
          <c:idx val="0"/>
          <c:order val="0"/>
          <c:tx>
            <c:strRef>
              <c:f>Hoja1!$B$1</c:f>
              <c:strCache>
                <c:ptCount val="1"/>
                <c:pt idx="0">
                  <c:v>Cantidad de Bomberos</c:v>
                </c:pt>
              </c:strCache>
            </c:strRef>
          </c:tx>
          <c:spPr>
            <a:solidFill>
              <a:schemeClr val="accent1"/>
            </a:solidFill>
            <a:ln>
              <a:noFill/>
            </a:ln>
            <a:effectLst/>
          </c:spPr>
          <c:invertIfNegative val="0"/>
          <c:cat>
            <c:strRef>
              <c:f>Hoja1!$A$2:$A$4</c:f>
              <c:strCache>
                <c:ptCount val="3"/>
                <c:pt idx="0">
                  <c:v>Bogotá</c:v>
                </c:pt>
                <c:pt idx="1">
                  <c:v>New York</c:v>
                </c:pt>
                <c:pt idx="2">
                  <c:v>Norma</c:v>
                </c:pt>
              </c:strCache>
            </c:strRef>
          </c:cat>
          <c:val>
            <c:numRef>
              <c:f>Hoja1!$B$2:$B$4</c:f>
              <c:numCache>
                <c:formatCode>_-* #,##0_-;\-* #,##0_-;_-* "-"??_-;_-@_-</c:formatCode>
                <c:ptCount val="3"/>
                <c:pt idx="0">
                  <c:v>738</c:v>
                </c:pt>
                <c:pt idx="1">
                  <c:v>12386</c:v>
                </c:pt>
                <c:pt idx="2" formatCode="General">
                  <c:v>1</c:v>
                </c:pt>
              </c:numCache>
            </c:numRef>
          </c:val>
          <c:extLst>
            <c:ext xmlns:c16="http://schemas.microsoft.com/office/drawing/2014/chart" uri="{C3380CC4-5D6E-409C-BE32-E72D297353CC}">
              <c16:uniqueId val="{00000000-0CE6-4DAF-B840-E190EB8E2BDD}"/>
            </c:ext>
          </c:extLst>
        </c:ser>
        <c:dLbls>
          <c:showLegendKey val="0"/>
          <c:showVal val="0"/>
          <c:showCatName val="0"/>
          <c:showSerName val="0"/>
          <c:showPercent val="0"/>
          <c:showBubbleSize val="0"/>
        </c:dLbls>
        <c:gapWidth val="150"/>
        <c:axId val="244042016"/>
        <c:axId val="244046368"/>
      </c:barChart>
      <c:lineChart>
        <c:grouping val="standard"/>
        <c:varyColors val="0"/>
        <c:ser>
          <c:idx val="1"/>
          <c:order val="1"/>
          <c:tx>
            <c:strRef>
              <c:f>Hoja1!$C$1</c:f>
              <c:strCache>
                <c:ptCount val="1"/>
                <c:pt idx="0">
                  <c:v>Bomberos Cada 1.000 habitantes</c:v>
                </c:pt>
              </c:strCache>
            </c:strRef>
          </c:tx>
          <c:spPr>
            <a:ln w="28575" cap="rnd">
              <a:noFill/>
              <a:round/>
            </a:ln>
            <a:effectLst/>
          </c:spPr>
          <c:marker>
            <c:symbol val="circle"/>
            <c:size val="5"/>
            <c:spPr>
              <a:solidFill>
                <a:schemeClr val="accent2"/>
              </a:solidFill>
              <a:ln w="19050">
                <a:solidFill>
                  <a:schemeClr val="accent2"/>
                </a:solidFill>
              </a:ln>
              <a:effectLst/>
            </c:spPr>
          </c:marker>
          <c:cat>
            <c:strRef>
              <c:f>Hoja1!$A$2:$A$4</c:f>
              <c:strCache>
                <c:ptCount val="3"/>
                <c:pt idx="0">
                  <c:v>Bogotá</c:v>
                </c:pt>
                <c:pt idx="1">
                  <c:v>New York</c:v>
                </c:pt>
                <c:pt idx="2">
                  <c:v>Norma</c:v>
                </c:pt>
              </c:strCache>
            </c:strRef>
          </c:cat>
          <c:val>
            <c:numRef>
              <c:f>Hoja1!$C$2:$C$4</c:f>
              <c:numCache>
                <c:formatCode>0.000</c:formatCode>
                <c:ptCount val="3"/>
                <c:pt idx="0">
                  <c:v>0.10276449010641101</c:v>
                </c:pt>
                <c:pt idx="1">
                  <c:v>1.47452380952381</c:v>
                </c:pt>
                <c:pt idx="2" formatCode="General">
                  <c:v>1</c:v>
                </c:pt>
              </c:numCache>
            </c:numRef>
          </c:val>
          <c:smooth val="0"/>
          <c:extLst>
            <c:ext xmlns:c16="http://schemas.microsoft.com/office/drawing/2014/chart" uri="{C3380CC4-5D6E-409C-BE32-E72D297353CC}">
              <c16:uniqueId val="{00000001-0CE6-4DAF-B840-E190EB8E2BDD}"/>
            </c:ext>
          </c:extLst>
        </c:ser>
        <c:dLbls>
          <c:showLegendKey val="0"/>
          <c:showVal val="0"/>
          <c:showCatName val="0"/>
          <c:showSerName val="0"/>
          <c:showPercent val="0"/>
          <c:showBubbleSize val="0"/>
        </c:dLbls>
        <c:marker val="1"/>
        <c:smooth val="0"/>
        <c:axId val="2025958848"/>
        <c:axId val="2025968096"/>
      </c:lineChart>
      <c:catAx>
        <c:axId val="2025958848"/>
        <c:scaling>
          <c:orientation val="minMax"/>
        </c:scaling>
        <c:delete val="0"/>
        <c:axPos val="b"/>
        <c:numFmt formatCode="General"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crossAx val="2025968096"/>
        <c:crosses val="autoZero"/>
        <c:auto val="1"/>
        <c:lblAlgn val="ctr"/>
        <c:lblOffset val="100"/>
        <c:noMultiLvlLbl val="0"/>
      </c:catAx>
      <c:valAx>
        <c:axId val="2025968096"/>
        <c:scaling>
          <c:orientation val="minMax"/>
        </c:scaling>
        <c:delete val="0"/>
        <c:axPos val="r"/>
        <c:title>
          <c:tx>
            <c:rich>
              <a:bodyPr rot="-54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r>
                  <a:rPr lang="es-ES"/>
                  <a:t>Bomberos cada 1000 habitantes</a:t>
                </a:r>
              </a:p>
            </c:rich>
          </c:tx>
          <c:layout/>
          <c:overlay val="0"/>
          <c:spPr>
            <a:noFill/>
            <a:ln>
              <a:noFill/>
            </a:ln>
            <a:effectLst/>
          </c:spPr>
          <c:txPr>
            <a:bodyPr rot="-54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title>
        <c:numFmt formatCode="0.0" sourceLinked="0"/>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crossAx val="2025958848"/>
        <c:crosses val="max"/>
        <c:crossBetween val="between"/>
        <c:majorUnit val="0.4"/>
      </c:valAx>
      <c:catAx>
        <c:axId val="244042016"/>
        <c:scaling>
          <c:orientation val="minMax"/>
        </c:scaling>
        <c:delete val="1"/>
        <c:axPos val="b"/>
        <c:numFmt formatCode="General" sourceLinked="1"/>
        <c:majorTickMark val="out"/>
        <c:minorTickMark val="none"/>
        <c:tickLblPos val="nextTo"/>
        <c:crossAx val="244046368"/>
        <c:crosses val="autoZero"/>
        <c:auto val="1"/>
        <c:lblAlgn val="ctr"/>
        <c:lblOffset val="100"/>
        <c:noMultiLvlLbl val="0"/>
      </c:catAx>
      <c:valAx>
        <c:axId val="244046368"/>
        <c:scaling>
          <c:orientation val="minMax"/>
        </c:scaling>
        <c:delete val="0"/>
        <c:axPos val="l"/>
        <c:numFmt formatCode="_-* #,##0_-;\-* #,##0_-;_-* &quot;-&quot;??_-;_-@_-" sourceLinked="1"/>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crossAx val="244042016"/>
        <c:crosses val="autoZero"/>
        <c:crossBetween val="between"/>
      </c:valAx>
      <c:spPr>
        <a:noFill/>
        <a:ln>
          <a:noFill/>
        </a:ln>
        <a:effectLst/>
      </c:spPr>
    </c:plotArea>
    <c:legend>
      <c:legendPos val="r"/>
      <c:layout>
        <c:manualLayout>
          <c:xMode val="edge"/>
          <c:yMode val="edge"/>
          <c:x val="3.9304315410774601E-2"/>
          <c:y val="0.93612400496637305"/>
          <c:w val="0.91620415469504501"/>
          <c:h val="5.5390488987953998E-2"/>
        </c:manualLayout>
      </c:layout>
      <c:overlay val="0"/>
      <c:spPr>
        <a:noFill/>
        <a:ln>
          <a:noFill/>
        </a:ln>
        <a:effectLst/>
      </c:spPr>
      <c:txPr>
        <a:bodyPr rot="0" spcFirstLastPara="1" vertOverflow="ellipsis" vert="horz" wrap="square" anchor="ctr" anchorCtr="1"/>
        <a:lstStyle/>
        <a:p>
          <a:pPr>
            <a:defRPr lang="es-ES" sz="900" b="0" i="0" u="none" strike="noStrike" kern="1200" baseline="0">
              <a:solidFill>
                <a:sysClr val="windowText" lastClr="000000"/>
              </a:solidFill>
              <a:latin typeface="Times New Roman" panose="02020603050405020304" charset="0"/>
              <a:ea typeface="+mn-ea"/>
              <a:cs typeface="Times New Roman" panose="02020603050405020304" charset="0"/>
            </a:defRPr>
          </a:pPr>
          <a:endParaRPr lang="es-CO"/>
        </a:p>
      </c:txPr>
    </c:legend>
    <c:plotVisOnly val="1"/>
    <c:dispBlanksAs val="gap"/>
    <c:showDLblsOverMax val="0"/>
  </c:chart>
  <c:spPr>
    <a:solidFill>
      <a:schemeClr val="bg1"/>
    </a:solidFill>
    <a:ln w="9525" cap="flat" cmpd="sng" algn="ctr">
      <a:noFill/>
      <a:round/>
    </a:ln>
    <a:effectLst/>
  </c:spPr>
  <c:txPr>
    <a:bodyPr/>
    <a:lstStyle/>
    <a:p>
      <a:pPr>
        <a:defRPr lang="es-ES" sz="900">
          <a:solidFill>
            <a:sysClr val="windowText" lastClr="000000"/>
          </a:solidFill>
          <a:latin typeface="Times New Roman" panose="02020603050405020304" charset="0"/>
          <a:cs typeface="Times New Roman" panose="02020603050405020304" charset="0"/>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ES" sz="1200" b="0" i="0" u="none" strike="noStrike" kern="1200" spc="0" baseline="0">
                <a:solidFill>
                  <a:srgbClr val="000000"/>
                </a:solidFill>
                <a:latin typeface="Times New Roman" panose="02020603050405020304"/>
                <a:ea typeface="Times New Roman" panose="02020603050405020304"/>
                <a:cs typeface="Times New Roman" panose="02020603050405020304"/>
              </a:defRPr>
            </a:pPr>
            <a:r>
              <a:rPr lang="en-US"/>
              <a:t>Voluntarios Gestión del Riesgo Bogotá</a:t>
            </a:r>
          </a:p>
        </c:rich>
      </c:tx>
      <c:layout/>
      <c:overlay val="0"/>
      <c:spPr>
        <a:noFill/>
        <a:ln>
          <a:noFill/>
        </a:ln>
        <a:effectLst/>
      </c:spPr>
      <c:txPr>
        <a:bodyPr rot="0" spcFirstLastPara="1" vertOverflow="ellipsis" vert="horz" wrap="square" anchor="ctr" anchorCtr="1"/>
        <a:lstStyle/>
        <a:p>
          <a:pPr>
            <a:defRPr lang="es-ES" sz="1200" b="0" i="0" u="none" strike="noStrike" kern="1200" spc="0" baseline="0">
              <a:solidFill>
                <a:srgbClr val="000000"/>
              </a:solidFill>
              <a:latin typeface="Times New Roman" panose="02020603050405020304"/>
              <a:ea typeface="Times New Roman" panose="02020603050405020304"/>
              <a:cs typeface="Times New Roman" panose="02020603050405020304"/>
            </a:defRPr>
          </a:pPr>
          <a:endParaRPr lang="es-CO"/>
        </a:p>
      </c:txPr>
    </c:title>
    <c:autoTitleDeleted val="0"/>
    <c:plotArea>
      <c:layout/>
      <c:barChart>
        <c:barDir val="col"/>
        <c:grouping val="clustered"/>
        <c:varyColors val="0"/>
        <c:ser>
          <c:idx val="0"/>
          <c:order val="0"/>
          <c:spPr>
            <a:solidFill>
              <a:srgbClr val="30549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s-ES" sz="900" b="0" i="0" u="none" strike="noStrike" kern="1200" baseline="0">
                    <a:solidFill>
                      <a:srgbClr val="000000"/>
                    </a:solidFill>
                    <a:latin typeface="Times New Roman" panose="02020603050405020304"/>
                    <a:ea typeface="Times New Roman" panose="02020603050405020304"/>
                    <a:cs typeface="Times New Roman" panose="02020603050405020304"/>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Hoja1!$B$21:$B$23</c:f>
              <c:strCache>
                <c:ptCount val="3"/>
                <c:pt idx="0">
                  <c:v>Bomberos Voluntarios</c:v>
                </c:pt>
                <c:pt idx="1">
                  <c:v>Defensa Civil Seccional Bogotá</c:v>
                </c:pt>
                <c:pt idx="2">
                  <c:v>Cruz Roja Colombiana Seccional Cundinamarca y Bogotá</c:v>
                </c:pt>
              </c:strCache>
            </c:strRef>
          </c:cat>
          <c:val>
            <c:numRef>
              <c:f>Hoja1!$C$21:$C$23</c:f>
              <c:numCache>
                <c:formatCode>General</c:formatCode>
                <c:ptCount val="3"/>
                <c:pt idx="0">
                  <c:v>160</c:v>
                </c:pt>
                <c:pt idx="1">
                  <c:v>1650</c:v>
                </c:pt>
                <c:pt idx="2">
                  <c:v>700</c:v>
                </c:pt>
              </c:numCache>
            </c:numRef>
          </c:val>
          <c:extLst>
            <c:ext xmlns:c16="http://schemas.microsoft.com/office/drawing/2014/chart" uri="{C3380CC4-5D6E-409C-BE32-E72D297353CC}">
              <c16:uniqueId val="{00000000-F93D-45D7-8BE2-A38FD2EDAC52}"/>
            </c:ext>
          </c:extLst>
        </c:ser>
        <c:dLbls>
          <c:showLegendKey val="0"/>
          <c:showVal val="1"/>
          <c:showCatName val="0"/>
          <c:showSerName val="0"/>
          <c:showPercent val="0"/>
          <c:showBubbleSize val="0"/>
        </c:dLbls>
        <c:gapWidth val="219"/>
        <c:overlap val="-27"/>
        <c:axId val="244034400"/>
        <c:axId val="244042560"/>
      </c:barChart>
      <c:catAx>
        <c:axId val="244034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s-ES" sz="900" b="0" i="0" u="none" strike="noStrike" kern="1200" baseline="0">
                <a:solidFill>
                  <a:srgbClr val="000000"/>
                </a:solidFill>
                <a:latin typeface="Times New Roman" panose="02020603050405020304"/>
                <a:ea typeface="Times New Roman" panose="02020603050405020304"/>
                <a:cs typeface="Times New Roman" panose="02020603050405020304"/>
              </a:defRPr>
            </a:pPr>
            <a:endParaRPr lang="es-CO"/>
          </a:p>
        </c:txPr>
        <c:crossAx val="244042560"/>
        <c:crosses val="autoZero"/>
        <c:auto val="1"/>
        <c:lblAlgn val="ctr"/>
        <c:lblOffset val="100"/>
        <c:noMultiLvlLbl val="0"/>
      </c:catAx>
      <c:valAx>
        <c:axId val="244042560"/>
        <c:scaling>
          <c:orientation val="minMax"/>
        </c:scaling>
        <c:delete val="1"/>
        <c:axPos val="l"/>
        <c:numFmt formatCode="General" sourceLinked="1"/>
        <c:majorTickMark val="none"/>
        <c:minorTickMark val="none"/>
        <c:tickLblPos val="nextTo"/>
        <c:crossAx val="244034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es-ES"/>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7D47B-08C5-4852-98D1-A668D42B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4835</Words>
  <Characters>26593</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31366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CLAUDIA TERESA SUAREZ NIÑO</cp:lastModifiedBy>
  <cp:revision>4</cp:revision>
  <cp:lastPrinted>2022-01-08T17:49:00Z</cp:lastPrinted>
  <dcterms:created xsi:type="dcterms:W3CDTF">2025-01-13T16:01:00Z</dcterms:created>
  <dcterms:modified xsi:type="dcterms:W3CDTF">2025-01-19T17:31:00Z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3082-12.2.0.13412</vt:lpwstr>
  </property>
  <property fmtid="{D5CDD505-2E9C-101B-9397-08002B2CF9AE}" pid="3" name="ICV">
    <vt:lpwstr>233EFACFF8E54582B7FA80CE1E5BFA5D_12</vt:lpwstr>
  </property>
</Properties>
</file>